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pPr>
      <w:r>
        <w:rPr/>
        <w:drawing>
          <wp:inline distT="0" distB="0" distL="0" distR="0">
            <wp:extent cx="722630" cy="556260"/>
            <wp:effectExtent l="0" t="0" r="0" b="0"/>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2"/>
                    <a:srcRect l="-1" t="-2" r="-1" b="-2"/>
                    <a:stretch>
                      <a:fillRect/>
                    </a:stretch>
                  </pic:blipFill>
                  <pic:spPr bwMode="auto">
                    <a:xfrm>
                      <a:off x="0" y="0"/>
                      <a:ext cx="722630" cy="556260"/>
                    </a:xfrm>
                    <a:prstGeom prst="rect">
                      <a:avLst/>
                    </a:prstGeom>
                    <a:noFill/>
                  </pic:spPr>
                </pic:pic>
              </a:graphicData>
            </a:graphic>
          </wp:inline>
        </w:drawing>
      </w:r>
    </w:p>
    <w:p>
      <w:pPr>
        <w:pStyle w:val="Normal"/>
        <w:jc w:val="center"/>
        <w:rPr/>
      </w:pPr>
      <w:r>
        <w:rPr/>
        <w:t>SNIPE CLASS INTERNATIONAL RACING ASSOCIATION</w:t>
      </w:r>
    </w:p>
    <w:p>
      <w:pPr>
        <w:pStyle w:val="Normal"/>
        <w:jc w:val="center"/>
        <w:rPr/>
      </w:pPr>
      <w:r>
        <w:rPr/>
      </w:r>
    </w:p>
    <w:p>
      <w:pPr>
        <w:pStyle w:val="Normal"/>
        <w:jc w:val="center"/>
        <w:rPr>
          <w:b/>
          <w:bCs/>
          <w:sz w:val="36"/>
          <w:szCs w:val="36"/>
        </w:rPr>
      </w:pPr>
      <w:r>
        <w:rPr>
          <w:b/>
          <w:bCs/>
          <w:sz w:val="36"/>
          <w:szCs w:val="36"/>
        </w:rPr>
        <w:t>ISTRUZIONI DI REGATA</w:t>
      </w:r>
    </w:p>
    <w:p>
      <w:pPr>
        <w:pStyle w:val="Normal"/>
        <w:jc w:val="center"/>
        <w:rPr/>
      </w:pPr>
      <w:r>
        <w:rPr/>
      </w:r>
    </w:p>
    <w:p>
      <w:pPr>
        <w:pStyle w:val="Normal"/>
        <w:jc w:val="center"/>
        <w:rPr/>
      </w:pPr>
      <w:r>
        <w:rPr/>
        <w:t>&lt;Nome della regata&gt;</w:t>
      </w:r>
    </w:p>
    <w:p>
      <w:pPr>
        <w:pStyle w:val="Normal"/>
        <w:jc w:val="center"/>
        <w:rPr/>
      </w:pPr>
      <w:r>
        <w:rPr/>
        <w:t>&lt;Nome del trofeo con Deed of Gift&gt;</w:t>
      </w:r>
    </w:p>
    <w:p>
      <w:pPr>
        <w:pStyle w:val="Normal"/>
        <w:jc w:val="center"/>
        <w:rPr/>
      </w:pPr>
      <w:r>
        <w:rPr/>
      </w:r>
    </w:p>
    <w:p>
      <w:pPr>
        <w:pStyle w:val="BodyText"/>
        <w:spacing w:lineRule="exact" w:line="260"/>
        <w:jc w:val="both"/>
        <w:rPr>
          <w:color w:val="000000"/>
        </w:rPr>
      </w:pPr>
      <w:r>
        <w:rPr>
          <w:color w:val="000000"/>
        </w:rPr>
        <w:t>Su</w:t>
      </w:r>
      <w:r>
        <w:rPr>
          <w:color w:val="000000"/>
          <w:spacing w:val="-15"/>
        </w:rPr>
        <w:t xml:space="preserve"> </w:t>
      </w:r>
      <w:r>
        <w:rPr>
          <w:color w:val="000000"/>
        </w:rPr>
        <w:t>delega</w:t>
      </w:r>
      <w:r>
        <w:rPr>
          <w:color w:val="000000"/>
          <w:spacing w:val="-14"/>
        </w:rPr>
        <w:t xml:space="preserve"> </w:t>
      </w:r>
      <w:r>
        <w:rPr>
          <w:color w:val="000000"/>
        </w:rPr>
        <w:t>della</w:t>
      </w:r>
      <w:r>
        <w:rPr>
          <w:color w:val="000000"/>
          <w:spacing w:val="-15"/>
        </w:rPr>
        <w:t xml:space="preserve"> </w:t>
      </w:r>
      <w:r>
        <w:rPr>
          <w:color w:val="000000"/>
        </w:rPr>
        <w:t>Autorità</w:t>
      </w:r>
      <w:r>
        <w:rPr>
          <w:color w:val="000000"/>
          <w:spacing w:val="-14"/>
        </w:rPr>
        <w:t xml:space="preserve"> </w:t>
      </w:r>
      <w:r>
        <w:rPr>
          <w:color w:val="000000"/>
        </w:rPr>
        <w:t>Organizzatrice</w:t>
      </w:r>
      <w:r>
        <w:rPr>
          <w:color w:val="000000"/>
          <w:spacing w:val="-14"/>
        </w:rPr>
        <w:t xml:space="preserve"> </w:t>
      </w:r>
      <w:r>
        <w:rPr>
          <w:color w:val="000000"/>
        </w:rPr>
        <w:t>FIV:</w:t>
      </w:r>
      <w:r>
        <w:rPr>
          <w:color w:val="000000"/>
          <w:spacing w:val="-15"/>
        </w:rPr>
        <w:t xml:space="preserve"> &lt;inserire dati Circolo organizzatore&gt;</w:t>
      </w:r>
      <w:r>
        <w:rPr>
          <w:color w:val="000000"/>
          <w:spacing w:val="-15"/>
          <w:u w:val="single" w:color="0000FF"/>
        </w:rPr>
        <w:t xml:space="preserve"> </w:t>
      </w:r>
      <w:r>
        <w:rPr>
          <w:color w:val="000000"/>
        </w:rPr>
        <w:t xml:space="preserve">in cooperazione con la “Snipe Class International Racing </w:t>
      </w:r>
      <w:r>
        <w:rPr>
          <w:color w:val="000000"/>
          <w:spacing w:val="-2"/>
        </w:rPr>
        <w:t>Association”</w:t>
      </w:r>
      <w:r>
        <w:rPr>
          <w:color w:val="000000"/>
          <w:spacing w:val="-1"/>
        </w:rPr>
        <w:t xml:space="preserve"> </w:t>
      </w:r>
      <w:r>
        <w:rPr>
          <w:color w:val="000000"/>
          <w:spacing w:val="-2"/>
        </w:rPr>
        <w:t xml:space="preserve">(SCIRA) </w:t>
      </w:r>
      <w:r>
        <w:rPr>
          <w:color w:val="000000"/>
          <w:spacing w:val="-2"/>
          <w:w w:val="85"/>
        </w:rPr>
        <w:t>—</w:t>
      </w:r>
      <w:r>
        <w:rPr>
          <w:color w:val="000000"/>
          <w:spacing w:val="-4"/>
          <w:w w:val="85"/>
        </w:rPr>
        <w:t xml:space="preserve"> </w:t>
      </w:r>
      <w:r>
        <w:rPr>
          <w:color w:val="000000"/>
          <w:spacing w:val="-2"/>
        </w:rPr>
        <w:t>ITALIA in</w:t>
      </w:r>
      <w:r>
        <w:rPr>
          <w:color w:val="000000"/>
          <w:spacing w:val="-12"/>
        </w:rPr>
        <w:t xml:space="preserve"> </w:t>
      </w:r>
      <w:r>
        <w:rPr>
          <w:color w:val="000000"/>
          <w:spacing w:val="-2"/>
        </w:rPr>
        <w:t>collaborazione</w:t>
      </w:r>
      <w:r>
        <w:rPr>
          <w:color w:val="000000"/>
          <w:spacing w:val="-13"/>
        </w:rPr>
        <w:t xml:space="preserve"> </w:t>
      </w:r>
      <w:r>
        <w:rPr>
          <w:color w:val="000000"/>
          <w:spacing w:val="-2"/>
        </w:rPr>
        <w:t>con</w:t>
      </w:r>
      <w:r>
        <w:rPr>
          <w:color w:val="000000"/>
          <w:spacing w:val="-6"/>
        </w:rPr>
        <w:t xml:space="preserve"> </w:t>
      </w:r>
      <w:r>
        <w:rPr>
          <w:color w:val="000000"/>
          <w:spacing w:val="-2"/>
        </w:rPr>
        <w:t>la</w:t>
      </w:r>
      <w:r>
        <w:rPr>
          <w:color w:val="000000"/>
          <w:spacing w:val="-8"/>
        </w:rPr>
        <w:t xml:space="preserve"> </w:t>
      </w:r>
      <w:r>
        <w:rPr>
          <w:color w:val="000000"/>
          <w:spacing w:val="-2"/>
        </w:rPr>
        <w:t>Flotta</w:t>
      </w:r>
      <w:r>
        <w:rPr>
          <w:color w:val="000000"/>
          <w:spacing w:val="-5"/>
        </w:rPr>
        <w:t xml:space="preserve"> </w:t>
      </w:r>
      <w:r>
        <w:rPr>
          <w:color w:val="000000"/>
          <w:spacing w:val="-2"/>
        </w:rPr>
        <w:t>Snipe</w:t>
      </w:r>
      <w:r>
        <w:rPr>
          <w:color w:val="000000"/>
          <w:spacing w:val="-6"/>
        </w:rPr>
        <w:t xml:space="preserve"> &lt;inserire flotta&gt;</w:t>
      </w:r>
    </w:p>
    <w:p>
      <w:pPr>
        <w:pStyle w:val="Normal"/>
        <w:ind w:right="567"/>
        <w:rPr>
          <w:color w:val="000000"/>
        </w:rPr>
      </w:pPr>
      <w:r>
        <w:rPr>
          <w:color w:val="000000"/>
        </w:rPr>
      </w:r>
    </w:p>
    <w:p>
      <w:pPr>
        <w:pStyle w:val="Normal"/>
        <w:ind w:right="567"/>
        <w:rPr>
          <w:color w:val="000000"/>
        </w:rPr>
      </w:pPr>
      <w:r>
        <w:rPr>
          <w:color w:val="000000"/>
        </w:rPr>
      </w:r>
    </w:p>
    <w:p>
      <w:pPr>
        <w:pStyle w:val="Normal"/>
        <w:rPr/>
      </w:pPr>
      <w:r>
        <w:rPr>
          <w:b/>
          <w:bCs/>
        </w:rPr>
        <w:t>[SP]</w:t>
      </w:r>
      <w:r>
        <w:rPr/>
        <w:t xml:space="preserve"> [*Opzionale – se pertinente*] indica una regola per la quale può essere applicata una penalità standard dal Comitato senza </w:t>
      </w:r>
      <w:bookmarkStart w:id="0" w:name="_GoBack"/>
      <w:bookmarkEnd w:id="0"/>
      <w:r>
        <w:rPr/>
        <w:t>udienza.</w:t>
      </w:r>
    </w:p>
    <w:p>
      <w:pPr>
        <w:pStyle w:val="Normal"/>
        <w:rPr/>
      </w:pPr>
      <w:r>
        <w:rPr>
          <w:b/>
          <w:bCs/>
        </w:rPr>
        <w:t>[NP]</w:t>
      </w:r>
      <w:r>
        <w:rPr/>
        <w:t xml:space="preserve"> indica una regola che non può essere motivo di protesta da parte di una barca. Questo modifica la RRS 60.1</w:t>
      </w:r>
    </w:p>
    <w:p>
      <w:pPr>
        <w:pStyle w:val="Normal"/>
        <w:rPr/>
      </w:pPr>
      <w:r>
        <w:rPr/>
      </w:r>
    </w:p>
    <w:p>
      <w:pPr>
        <w:pStyle w:val="Normal"/>
        <w:pBdr>
          <w:bottom w:val="single" w:sz="4" w:space="1" w:color="000000"/>
        </w:pBdr>
        <w:rPr>
          <w:b/>
          <w:bCs/>
        </w:rPr>
      </w:pPr>
      <w:r>
        <w:rPr>
          <w:b/>
          <w:bCs/>
        </w:rPr>
        <w:t>1</w:t>
        <w:tab/>
        <w:t>REGOLE</w:t>
      </w:r>
    </w:p>
    <w:p>
      <w:pPr>
        <w:pStyle w:val="Normal"/>
        <w:rPr/>
      </w:pPr>
      <w:r>
        <w:rPr/>
        <w:t>Come da Bando di Regata</w:t>
      </w:r>
    </w:p>
    <w:p>
      <w:pPr>
        <w:pStyle w:val="Body1"/>
        <w:spacing w:before="120" w:after="0"/>
        <w:rPr>
          <w:rFonts w:ascii="Arial" w:hAnsi="Arial" w:cs="Arial"/>
          <w:sz w:val="22"/>
          <w:szCs w:val="22"/>
        </w:rPr>
      </w:pPr>
      <w:r>
        <w:rPr>
          <w:rFonts w:cs="Arial" w:ascii="Arial" w:hAnsi="Arial"/>
          <w:sz w:val="22"/>
          <w:szCs w:val="22"/>
        </w:rPr>
      </w:r>
    </w:p>
    <w:p>
      <w:pPr>
        <w:pStyle w:val="Normal"/>
        <w:pBdr>
          <w:bottom w:val="single" w:sz="4" w:space="1" w:color="000000"/>
        </w:pBdr>
        <w:rPr>
          <w:b/>
          <w:bCs/>
        </w:rPr>
      </w:pPr>
      <w:r>
        <w:rPr>
          <w:b/>
          <w:bCs/>
        </w:rPr>
        <w:t>2 [DP] [NP] REGOLE RIGUARDANTI LA SICUREZZA</w:t>
      </w:r>
    </w:p>
    <w:p>
      <w:pPr>
        <w:pStyle w:val="Normal"/>
        <w:rPr/>
      </w:pPr>
      <w:r>
        <w:rPr>
          <w:b/>
        </w:rPr>
        <w:t>2.1 [SP]</w:t>
      </w:r>
      <w:r>
        <w:rPr/>
        <w:t>Le imbarcazioni non in regata non dovranno interferire con i battelli ufficiali.</w:t>
      </w:r>
    </w:p>
    <w:p>
      <w:pPr>
        <w:pStyle w:val="Normal"/>
        <w:rPr/>
      </w:pPr>
      <w:r>
        <w:rPr>
          <w:b/>
        </w:rPr>
        <w:t>2.2 [SP][NP]</w:t>
      </w:r>
      <w:r>
        <w:rPr/>
        <w:t xml:space="preserve"> I concorrenti che non lasciano l’area assegnata presso le basi nautiche per regatare in una prova programmata dovranno informare la SR. Un concorrente che si ritira dovrà informare il CdR prima di abbandonare l’area di regata o, qualora ciò risulti impossibile, dovrà informare la SR appena possibile dopo essere rientrata a terra. </w:t>
      </w:r>
    </w:p>
    <w:p>
      <w:pPr>
        <w:pStyle w:val="Normal"/>
        <w:rPr/>
      </w:pPr>
      <w:r>
        <w:rPr>
          <w:b/>
        </w:rPr>
        <w:t>2.3 [SP][NP]</w:t>
      </w:r>
      <w:r>
        <w:rPr/>
        <w:t xml:space="preserve"> I concorrenti che si ritirano dalle prove devono sempre compilare il modulo di dichiarazione di ritiro (anche se si tratta di ritiro non collegato all’esecuzione di una penalità) nelle modalità indicate dal CO e farlo pervenire al CdP entro il tempo limite delle proteste.</w:t>
      </w:r>
    </w:p>
    <w:p>
      <w:pPr>
        <w:pStyle w:val="Normal"/>
        <w:rPr/>
      </w:pPr>
      <w:r>
        <w:rPr>
          <w:b/>
        </w:rPr>
        <w:t>2.4</w:t>
      </w:r>
      <w:r>
        <w:rPr/>
        <w:t xml:space="preserve"> Si utilizzeranno due canali VHF distinti: un canale da utilizzare per la gestione della regata e un secondo canale per gestire la scurezza (diverso dal can. 16)</w:t>
      </w:r>
    </w:p>
    <w:p>
      <w:pPr>
        <w:pStyle w:val="Normal"/>
        <w:rPr/>
      </w:pPr>
      <w:r>
        <w:rPr/>
      </w:r>
    </w:p>
    <w:p>
      <w:pPr>
        <w:pStyle w:val="Normal"/>
        <w:rPr/>
      </w:pPr>
      <w:r>
        <w:rPr/>
        <w:t xml:space="preserve">Gestione regata </w:t>
        <w:tab/>
        <w:tab/>
        <w:t>Canale VHF…..</w:t>
      </w:r>
    </w:p>
    <w:p>
      <w:pPr>
        <w:pStyle w:val="Normal"/>
        <w:rPr/>
      </w:pPr>
      <w:r>
        <w:rPr/>
        <w:t xml:space="preserve">Gestione sicurezza </w:t>
        <w:tab/>
        <w:tab/>
        <w:t>Canale VHF…..(si attiva all’issata della bandiera “V”)</w:t>
      </w:r>
    </w:p>
    <w:p>
      <w:pPr>
        <w:pStyle w:val="Normal"/>
        <w:rPr/>
      </w:pPr>
      <w:r>
        <w:rPr/>
      </w:r>
    </w:p>
    <w:p>
      <w:pPr>
        <w:pStyle w:val="Normal"/>
        <w:rPr/>
      </w:pPr>
      <w:r>
        <w:rPr>
          <w:b/>
          <w:bCs/>
        </w:rPr>
        <w:t>2.5</w:t>
      </w:r>
      <w:r>
        <w:rPr/>
        <w:t xml:space="preserve"> Quando il CdR espone la bandiera “V” con suoni ripetuti, tutte le barche ufficiali e di appoggio dovranno monitorare il canale VHF (riferito ad ogni campo di regata) indicato nelle IdR, ed eseguire eventuali istruzioni di ricerca e soccorso.</w:t>
      </w:r>
    </w:p>
    <w:p>
      <w:pPr>
        <w:pStyle w:val="Normal"/>
        <w:rPr/>
      </w:pPr>
      <w:r>
        <w:rPr>
          <w:b/>
          <w:bCs/>
        </w:rPr>
        <w:t>2.6</w:t>
      </w:r>
      <w:r>
        <w:rPr/>
        <w:t xml:space="preserve"> </w:t>
      </w:r>
      <w:r>
        <w:rPr>
          <w:b/>
        </w:rPr>
        <w:t xml:space="preserve">[SP] </w:t>
      </w:r>
      <w:r>
        <w:rPr/>
        <w:t>E’fatto obbligo alle Imbarcazioni, che per qualsiasi motivo dovessero arrivare a terra lontano dalle rispettive basi nautiche e/o che non fossero in grado di raggiungere i posti loro assegnati, di informare appena possibile il CO ai seguenti numeri di telefono: &lt;inserire numero di telefono&gt;</w:t>
      </w:r>
    </w:p>
    <w:p>
      <w:pPr>
        <w:pStyle w:val="Normal"/>
        <w:rPr/>
      </w:pPr>
      <w:r>
        <w:rPr>
          <w:b/>
        </w:rPr>
        <w:t>2.7 [SP]</w:t>
      </w:r>
      <w:r>
        <w:rPr/>
        <w:t xml:space="preserve"> Nel caso in cui, al rientro, fosse issata la lettera “B”, gli allenatori accreditati, dovranno firmare il rientro di tutti i propri atleti mediante l’applicazione disponibile al seguente link: &lt;inserire link&gt;.</w:t>
      </w:r>
    </w:p>
    <w:p>
      <w:pPr>
        <w:pStyle w:val="Normal"/>
        <w:rPr/>
      </w:pPr>
      <w:r>
        <w:rPr>
          <w:b/>
          <w:bCs/>
        </w:rPr>
        <w:t xml:space="preserve">2.8 </w:t>
      </w:r>
      <w:r>
        <w:rPr/>
        <w:t>Se la compilazione del modulo va a buon fine il sistema mostrerà il messaggio “Abbiamo registrato la comunicazione di uscita o rientro.”</w:t>
      </w:r>
    </w:p>
    <w:p>
      <w:pPr>
        <w:pStyle w:val="Normal"/>
        <w:rPr/>
      </w:pPr>
      <w:r>
        <w:rPr/>
        <w:t>Nel caso in cui un’imbarcazione non sia presente negli elenchi, questa riceverà una penalità del 5% nella regata più prossima all’infrazione calcolata come da RRS 44.3(c).</w:t>
      </w:r>
    </w:p>
    <w:p>
      <w:pPr>
        <w:pStyle w:val="Normal"/>
        <w:rPr/>
      </w:pPr>
      <w:r>
        <w:rPr>
          <w:b/>
        </w:rPr>
        <w:t>2.9 [SP][NP]</w:t>
      </w:r>
      <w:r>
        <w:rPr/>
        <w:t xml:space="preserve"> Qualora vengano esposti in acqua i segnali “Intelligenza su H” o “N su H”, tutte le barche dovranno rientrare a terra ed attendere istruzioni e l’esposizione della bandiera “D” prima di ritornare in acqua.</w:t>
      </w:r>
    </w:p>
    <w:p>
      <w:pPr>
        <w:pStyle w:val="Normal"/>
        <w:rPr/>
      </w:pPr>
      <w:r>
        <w:rPr/>
      </w:r>
    </w:p>
    <w:p>
      <w:pPr>
        <w:pStyle w:val="Normal"/>
        <w:rPr>
          <w:b/>
        </w:rPr>
      </w:pPr>
      <w:r>
        <w:rPr>
          <w:b/>
        </w:rPr>
        <w:t>2.10 Richiesta di assistenza da parte delle imbarcazioni</w:t>
      </w:r>
    </w:p>
    <w:p>
      <w:pPr>
        <w:pStyle w:val="Normal"/>
        <w:rPr/>
      </w:pPr>
      <w:r>
        <w:rPr/>
        <w:t>I concorrenti che richiedono assistenza da parte delle barche di soccorso, devono agitare un braccio con la mano aperta.  Se non è richiesta assistenza, il braccio deve essere posto sopra la testa con le dita della mano chiusa a pugno.</w:t>
      </w:r>
    </w:p>
    <w:p>
      <w:pPr>
        <w:pStyle w:val="Normal"/>
        <w:rPr/>
      </w:pPr>
      <w:r>
        <w:rPr/>
        <w:t xml:space="preserve">Se considerato necessario, può essere imposto al concorrente di abbandonare la barca e salire sul mezzo di soccorso. In questo caso si applicherà un nastro bianco e rosso alla barca abbandonata in modo che si sappia che l’equipaggio è stato comunque salvato. </w:t>
      </w:r>
    </w:p>
    <w:p>
      <w:pPr>
        <w:pStyle w:val="Normal"/>
        <w:rPr/>
      </w:pPr>
      <w:r>
        <w:rPr/>
      </w:r>
    </w:p>
    <w:p>
      <w:pPr>
        <w:pStyle w:val="Normal"/>
        <w:pBdr>
          <w:bottom w:val="single" w:sz="4" w:space="1" w:color="000000"/>
        </w:pBdr>
        <w:rPr>
          <w:b/>
          <w:bCs/>
        </w:rPr>
      </w:pPr>
      <w:r>
        <w:rPr>
          <w:b/>
          <w:bCs/>
        </w:rPr>
        <w:t>3</w:t>
        <w:tab/>
        <w:t xml:space="preserve">[DP][NP] CODICE DI COMPORTAMENTO </w:t>
      </w:r>
    </w:p>
    <w:p>
      <w:pPr>
        <w:pStyle w:val="Normal"/>
        <w:rPr/>
      </w:pPr>
      <w:r>
        <w:rPr>
          <w:b/>
          <w:bCs/>
        </w:rPr>
        <w:t>3.1</w:t>
      </w:r>
      <w:r>
        <w:rPr/>
        <w:t xml:space="preserve"> Tutti i partecipanti ad una manifestazione sono soggetti alle regole del codice di comportamento sportivo. </w:t>
      </w:r>
    </w:p>
    <w:p>
      <w:pPr>
        <w:pStyle w:val="Normal"/>
        <w:rPr/>
      </w:pPr>
      <w:r>
        <w:rPr>
          <w:b/>
          <w:bCs/>
        </w:rPr>
        <w:t xml:space="preserve">3.2 </w:t>
      </w:r>
      <w:r>
        <w:rPr/>
        <w:t>I concorrenti e le persone di supporto dovranno adeguarsi ad ogni ragionevole richiesta formulata da un Ufficiali di Regata o dal personale Comitato Organizzatore.</w:t>
      </w:r>
    </w:p>
    <w:p>
      <w:pPr>
        <w:pStyle w:val="Normal"/>
        <w:rPr/>
      </w:pPr>
      <w:r>
        <w:rPr>
          <w:b/>
          <w:bCs/>
        </w:rPr>
        <w:t xml:space="preserve">3.3 </w:t>
      </w:r>
      <w:r>
        <w:rPr/>
        <w:t>I concorrenti e le persone di supporto devono gestire qualsiasi attrezzatura fornita dal Comitato Organizzatore con cura, abilità marinaresca, secondo le eventuali istruzioni per l'uso e senza interferire con la sua funzionalità.</w:t>
      </w:r>
    </w:p>
    <w:p>
      <w:pPr>
        <w:pStyle w:val="Normal"/>
        <w:rPr/>
      </w:pPr>
      <w:r>
        <w:rPr/>
        <w:t xml:space="preserve"> </w:t>
      </w:r>
    </w:p>
    <w:p>
      <w:pPr>
        <w:pStyle w:val="Normal"/>
        <w:pBdr>
          <w:bottom w:val="single" w:sz="4" w:space="1" w:color="000000"/>
        </w:pBdr>
        <w:rPr>
          <w:b/>
          <w:bCs/>
        </w:rPr>
      </w:pPr>
      <w:r>
        <w:rPr>
          <w:b/>
          <w:bCs/>
        </w:rPr>
        <w:t>4</w:t>
        <w:tab/>
        <w:t>MODIFICHE ALLE ISTRUZIONI DI REGATA</w:t>
      </w:r>
    </w:p>
    <w:p>
      <w:pPr>
        <w:pStyle w:val="Normal"/>
        <w:rPr/>
      </w:pPr>
      <w:r>
        <w:rPr>
          <w:b/>
          <w:bCs/>
        </w:rPr>
        <w:t>4.1</w:t>
      </w:r>
      <w:r>
        <w:rPr/>
        <w:tab/>
        <w:t>Qualsiasi modifica alle istruzioni di regata sarà pubblicata entro le &lt;inserire l’ora&gt; del giorno precedente a quello in cui entrerà in vigore. Ogni altra modifica alle IdR dovrà essere esposta entro 2 ore dal primo segnale di avviso del giorno in cui avrà effetto.</w:t>
      </w:r>
    </w:p>
    <w:p>
      <w:pPr>
        <w:pStyle w:val="Normal"/>
        <w:rPr/>
      </w:pPr>
      <w:r>
        <w:rPr>
          <w:b/>
          <w:bCs/>
        </w:rPr>
        <w:t>4.2</w:t>
      </w:r>
      <w:r>
        <w:rPr/>
        <w:tab/>
        <w:t>[*Opzionale, se pertinente*] Qualsiasi modifica alle Istruzioni di Regata dovrà essere approvata con il Rappresentante della SCIRA.</w:t>
      </w:r>
    </w:p>
    <w:p>
      <w:pPr>
        <w:pStyle w:val="Normal"/>
        <w:rPr/>
      </w:pPr>
      <w:r>
        <w:rPr/>
      </w:r>
    </w:p>
    <w:p>
      <w:pPr>
        <w:pStyle w:val="Normal"/>
        <w:pBdr>
          <w:bottom w:val="single" w:sz="4" w:space="1" w:color="000000"/>
        </w:pBdr>
        <w:rPr>
          <w:b/>
          <w:bCs/>
        </w:rPr>
      </w:pPr>
      <w:r>
        <w:rPr>
          <w:b/>
          <w:bCs/>
        </w:rPr>
        <w:t>5</w:t>
        <w:tab/>
        <w:t>SEGNALI A TERRA</w:t>
      </w:r>
    </w:p>
    <w:p>
      <w:pPr>
        <w:pStyle w:val="Normal"/>
        <w:rPr/>
      </w:pPr>
      <w:r>
        <w:rPr>
          <w:b/>
          <w:bCs/>
        </w:rPr>
        <w:t>5.1</w:t>
      </w:r>
      <w:r>
        <w:rPr/>
        <w:tab/>
        <w:t>I segnali a terra saranno esposti a &lt;inserire posizione&gt;.</w:t>
      </w:r>
    </w:p>
    <w:p>
      <w:pPr>
        <w:pStyle w:val="Normal"/>
        <w:rPr/>
      </w:pPr>
      <w:r>
        <w:rPr>
          <w:b/>
          <w:bCs/>
        </w:rPr>
        <w:t>5.2</w:t>
      </w:r>
      <w:r>
        <w:rPr/>
        <w:tab/>
        <w:t>Quando il segnale del C.I.S. "Intelligenza" è esposto a terra, "1 minuto" è sostituito da "non meno di &lt;inserire numero di minuti&gt; minuti". Questo modifica i Segnali di Regata.</w:t>
      </w:r>
    </w:p>
    <w:p>
      <w:pPr>
        <w:pStyle w:val="Normal"/>
        <w:rPr/>
      </w:pPr>
      <w:r>
        <w:rPr>
          <w:b/>
          <w:bCs/>
        </w:rPr>
        <w:t>5.3</w:t>
      </w:r>
      <w:r>
        <w:rPr/>
        <w:tab/>
      </w:r>
      <w:r>
        <w:rPr>
          <w:b/>
          <w:bCs/>
        </w:rPr>
        <w:t>[DP]</w:t>
      </w:r>
      <w:r>
        <w:rPr/>
        <w:t xml:space="preserve"> La bandiera D accompagnata da un segnale acustico significa "Le barche non devono lasciare &lt;indicare&gt; fino a quando non viene issata la bandiera. Il segnale di avviso non sarà esposto prima dell'ora prevista o meno di &lt;numero&gt; minuti dopo l'esposizione della bandiera D.</w:t>
      </w:r>
    </w:p>
    <w:p>
      <w:pPr>
        <w:pStyle w:val="Normal"/>
        <w:rPr/>
      </w:pPr>
      <w:r>
        <w:rPr/>
      </w:r>
    </w:p>
    <w:p>
      <w:pPr>
        <w:pStyle w:val="Normal"/>
        <w:pBdr>
          <w:bottom w:val="single" w:sz="4" w:space="1" w:color="000000"/>
        </w:pBdr>
        <w:rPr>
          <w:b/>
          <w:bCs/>
        </w:rPr>
      </w:pPr>
      <w:r>
        <w:rPr>
          <w:b/>
          <w:bCs/>
        </w:rPr>
        <w:t>6</w:t>
        <w:tab/>
        <w:t>PROGRAMMA DELLE REGATE</w:t>
      </w:r>
    </w:p>
    <w:p>
      <w:pPr>
        <w:pStyle w:val="Normal"/>
        <w:rPr/>
      </w:pPr>
      <w:r>
        <w:rPr>
          <w:b/>
          <w:bCs/>
        </w:rPr>
        <w:t>6.1</w:t>
      </w:r>
      <w:r>
        <w:rPr/>
        <w:tab/>
        <w:t>Orario delle prove:</w:t>
      </w:r>
    </w:p>
    <w:p>
      <w:pPr>
        <w:pStyle w:val="Normal"/>
        <w:rPr/>
      </w:pPr>
      <w:r>
        <w:rPr/>
      </w:r>
    </w:p>
    <w:tbl>
      <w:tblPr>
        <w:tblW w:w="7143" w:type="dxa"/>
        <w:jc w:val="left"/>
        <w:tblInd w:w="738" w:type="dxa"/>
        <w:tblLayout w:type="fixed"/>
        <w:tblCellMar>
          <w:top w:w="0" w:type="dxa"/>
          <w:left w:w="108" w:type="dxa"/>
          <w:bottom w:w="0" w:type="dxa"/>
          <w:right w:w="108" w:type="dxa"/>
        </w:tblCellMar>
        <w:tblLook w:val="04a0" w:noVBand="1" w:noHBand="0" w:lastColumn="0" w:firstColumn="1" w:lastRow="0" w:firstRow="1"/>
      </w:tblPr>
      <w:tblGrid>
        <w:gridCol w:w="1814"/>
        <w:gridCol w:w="3005"/>
        <w:gridCol w:w="2324"/>
      </w:tblGrid>
      <w:tr>
        <w:trPr/>
        <w:tc>
          <w:tcPr>
            <w:tcW w:w="1814" w:type="dxa"/>
            <w:tcBorders/>
            <w:vAlign w:val="center"/>
          </w:tcPr>
          <w:p>
            <w:pPr>
              <w:pStyle w:val="Normal"/>
              <w:widowControl w:val="false"/>
              <w:spacing w:before="60" w:after="0"/>
              <w:jc w:val="center"/>
              <w:rPr>
                <w:i/>
              </w:rPr>
            </w:pPr>
            <w:r>
              <w:rPr>
                <w:i/>
              </w:rPr>
              <w:t>Data</w:t>
            </w:r>
          </w:p>
        </w:tc>
        <w:tc>
          <w:tcPr>
            <w:tcW w:w="3005" w:type="dxa"/>
            <w:tcBorders/>
            <w:vAlign w:val="center"/>
          </w:tcPr>
          <w:p>
            <w:pPr>
              <w:pStyle w:val="Normal"/>
              <w:widowControl w:val="false"/>
              <w:spacing w:before="60" w:after="0"/>
              <w:jc w:val="center"/>
              <w:rPr>
                <w:i/>
                <w:iCs/>
              </w:rPr>
            </w:pPr>
            <w:r>
              <w:rPr>
                <w:i/>
                <w:iCs/>
              </w:rPr>
              <w:t>Ora del segnale di avviso</w:t>
            </w:r>
          </w:p>
        </w:tc>
        <w:tc>
          <w:tcPr>
            <w:tcW w:w="2324" w:type="dxa"/>
            <w:tcBorders/>
            <w:vAlign w:val="center"/>
          </w:tcPr>
          <w:p>
            <w:pPr>
              <w:pStyle w:val="Normal"/>
              <w:widowControl w:val="false"/>
              <w:snapToGrid w:val="false"/>
              <w:spacing w:before="60" w:after="0"/>
              <w:rPr>
                <w:u w:val="single"/>
              </w:rPr>
            </w:pPr>
            <w:r>
              <w:rPr>
                <w:u w:val="single"/>
              </w:rPr>
            </w:r>
          </w:p>
        </w:tc>
      </w:tr>
      <w:tr>
        <w:trPr/>
        <w:tc>
          <w:tcPr>
            <w:tcW w:w="1814" w:type="dxa"/>
            <w:tcBorders/>
          </w:tcPr>
          <w:p>
            <w:pPr>
              <w:pStyle w:val="Normal"/>
              <w:widowControl w:val="false"/>
              <w:spacing w:before="60" w:after="0"/>
              <w:jc w:val="center"/>
              <w:rPr/>
            </w:pPr>
            <w:r>
              <w:rPr/>
              <w:t>______</w:t>
            </w:r>
          </w:p>
        </w:tc>
        <w:tc>
          <w:tcPr>
            <w:tcW w:w="3005" w:type="dxa"/>
            <w:tcBorders/>
          </w:tcPr>
          <w:p>
            <w:pPr>
              <w:pStyle w:val="Footer"/>
              <w:widowControl w:val="false"/>
              <w:spacing w:before="60" w:after="0"/>
              <w:jc w:val="center"/>
              <w:rPr/>
            </w:pPr>
            <w:r>
              <w:rPr/>
              <w:t>________</w:t>
            </w:r>
          </w:p>
        </w:tc>
        <w:tc>
          <w:tcPr>
            <w:tcW w:w="2324" w:type="dxa"/>
            <w:tcBorders/>
          </w:tcPr>
          <w:p>
            <w:pPr>
              <w:pStyle w:val="Normal"/>
              <w:widowControl w:val="false"/>
              <w:spacing w:before="60" w:after="0"/>
              <w:rPr>
                <w:b/>
              </w:rPr>
            </w:pPr>
            <w:r>
              <w:rPr>
                <w:b/>
              </w:rPr>
              <w:t>Prova/e</w:t>
            </w:r>
          </w:p>
        </w:tc>
      </w:tr>
      <w:tr>
        <w:trPr/>
        <w:tc>
          <w:tcPr>
            <w:tcW w:w="1814" w:type="dxa"/>
            <w:tcBorders/>
          </w:tcPr>
          <w:p>
            <w:pPr>
              <w:pStyle w:val="Normal"/>
              <w:widowControl w:val="false"/>
              <w:spacing w:before="60" w:after="0"/>
              <w:jc w:val="center"/>
              <w:rPr/>
            </w:pPr>
            <w:r>
              <w:rPr/>
              <w:t>______</w:t>
            </w:r>
          </w:p>
        </w:tc>
        <w:tc>
          <w:tcPr>
            <w:tcW w:w="3005" w:type="dxa"/>
            <w:tcBorders/>
          </w:tcPr>
          <w:p>
            <w:pPr>
              <w:pStyle w:val="Normal"/>
              <w:widowControl w:val="false"/>
              <w:spacing w:before="60" w:after="0"/>
              <w:jc w:val="center"/>
              <w:rPr/>
            </w:pPr>
            <w:r>
              <w:rPr/>
              <w:t>________</w:t>
            </w:r>
          </w:p>
        </w:tc>
        <w:tc>
          <w:tcPr>
            <w:tcW w:w="2324" w:type="dxa"/>
            <w:tcBorders/>
          </w:tcPr>
          <w:p>
            <w:pPr>
              <w:pStyle w:val="Normal"/>
              <w:widowControl w:val="false"/>
              <w:spacing w:before="60" w:after="0"/>
              <w:rPr>
                <w:b/>
              </w:rPr>
            </w:pPr>
            <w:r>
              <w:rPr>
                <w:b/>
              </w:rPr>
              <w:t>Prova/e</w:t>
            </w:r>
          </w:p>
        </w:tc>
      </w:tr>
      <w:tr>
        <w:trPr/>
        <w:tc>
          <w:tcPr>
            <w:tcW w:w="1814" w:type="dxa"/>
            <w:tcBorders/>
          </w:tcPr>
          <w:p>
            <w:pPr>
              <w:pStyle w:val="Normal"/>
              <w:widowControl w:val="false"/>
              <w:spacing w:before="60" w:after="0"/>
              <w:jc w:val="center"/>
              <w:rPr/>
            </w:pPr>
            <w:r>
              <w:rPr/>
              <w:t>______</w:t>
            </w:r>
          </w:p>
        </w:tc>
        <w:tc>
          <w:tcPr>
            <w:tcW w:w="3005" w:type="dxa"/>
            <w:tcBorders/>
          </w:tcPr>
          <w:p>
            <w:pPr>
              <w:pStyle w:val="Normal"/>
              <w:widowControl w:val="false"/>
              <w:spacing w:before="60" w:after="0"/>
              <w:jc w:val="center"/>
              <w:rPr/>
            </w:pPr>
            <w:r>
              <w:rPr/>
              <w:t>________</w:t>
            </w:r>
          </w:p>
        </w:tc>
        <w:tc>
          <w:tcPr>
            <w:tcW w:w="2324" w:type="dxa"/>
            <w:tcBorders/>
          </w:tcPr>
          <w:p>
            <w:pPr>
              <w:pStyle w:val="Normal"/>
              <w:widowControl w:val="false"/>
              <w:spacing w:before="60" w:after="0"/>
              <w:rPr>
                <w:b/>
              </w:rPr>
            </w:pPr>
            <w:r>
              <w:rPr>
                <w:b/>
              </w:rPr>
              <w:t>Prova/e</w:t>
            </w:r>
          </w:p>
        </w:tc>
      </w:tr>
    </w:tbl>
    <w:p>
      <w:pPr>
        <w:pStyle w:val="Normal"/>
        <w:rPr/>
      </w:pPr>
      <w:r>
        <w:rPr/>
      </w:r>
    </w:p>
    <w:p>
      <w:pPr>
        <w:pStyle w:val="Normal"/>
        <w:rPr/>
      </w:pPr>
      <w:r>
        <w:rPr/>
      </w:r>
    </w:p>
    <w:p>
      <w:pPr>
        <w:pStyle w:val="Normal"/>
        <w:rPr/>
      </w:pPr>
      <w:r>
        <w:rPr>
          <w:b/>
          <w:bCs/>
        </w:rPr>
        <w:t>6.2</w:t>
      </w:r>
      <w:r>
        <w:rPr/>
        <w:tab/>
        <w:t>La regata sarà composta da &lt;numero&gt; di prove.</w:t>
      </w:r>
    </w:p>
    <w:p>
      <w:pPr>
        <w:pStyle w:val="Normal"/>
        <w:rPr/>
      </w:pPr>
      <w:r>
        <w:rPr>
          <w:b/>
          <w:bCs/>
        </w:rPr>
        <w:t>6.3</w:t>
      </w:r>
      <w:r>
        <w:rPr/>
        <w:tab/>
        <w:t>Prima della prima prova è previsto un incontro con i concorrenti, a &lt;inserire ora e luogo&gt;, annunciato da due &lt;inserire tipo di segnali sonori&gt;.</w:t>
      </w:r>
    </w:p>
    <w:p>
      <w:pPr>
        <w:pStyle w:val="Normal"/>
        <w:rPr/>
      </w:pPr>
      <w:r>
        <w:rPr>
          <w:b/>
          <w:bCs/>
        </w:rPr>
        <w:t>6.4</w:t>
      </w:r>
      <w:r>
        <w:rPr/>
        <w:tab/>
        <w:t>[*Opzionale*] La regata consisterà in una serie di qualificazione e in una serie finale secondo il seguente sistema: &lt;inserire sistema&gt;.</w:t>
      </w:r>
    </w:p>
    <w:p>
      <w:pPr>
        <w:pStyle w:val="Normal"/>
        <w:rPr/>
      </w:pPr>
      <w:r>
        <w:rPr/>
      </w:r>
    </w:p>
    <w:p>
      <w:pPr>
        <w:pStyle w:val="Normal"/>
        <w:pBdr>
          <w:bottom w:val="single" w:sz="4" w:space="1" w:color="000000"/>
        </w:pBdr>
        <w:rPr>
          <w:b/>
          <w:bCs/>
        </w:rPr>
      </w:pPr>
      <w:r>
        <w:rPr>
          <w:b/>
          <w:bCs/>
        </w:rPr>
        <w:t>7</w:t>
        <w:tab/>
        <w:t>BANDIERA DI CLASSE</w:t>
      </w:r>
    </w:p>
    <w:p>
      <w:pPr>
        <w:pStyle w:val="Normal"/>
        <w:rPr/>
      </w:pPr>
      <w:r>
        <w:rPr>
          <w:b/>
          <w:bCs/>
        </w:rPr>
        <w:t>7.1</w:t>
      </w:r>
      <w:r>
        <w:rPr/>
        <w:tab/>
        <w:t>La bandiera ufficiale della Classe sarà la bandiera della Classe Snipe.</w:t>
      </w:r>
    </w:p>
    <w:p>
      <w:pPr>
        <w:pStyle w:val="Normal"/>
        <w:rPr/>
      </w:pPr>
      <w:r>
        <w:rPr/>
      </w:r>
    </w:p>
    <w:p>
      <w:pPr>
        <w:pStyle w:val="Normal"/>
        <w:pBdr>
          <w:bottom w:val="single" w:sz="4" w:space="1" w:color="000000"/>
        </w:pBdr>
        <w:rPr>
          <w:b/>
          <w:bCs/>
        </w:rPr>
      </w:pPr>
      <w:r>
        <w:rPr>
          <w:b/>
          <w:bCs/>
        </w:rPr>
        <w:t>8</w:t>
        <w:tab/>
        <w:t>AREA DI REGATA</w:t>
      </w:r>
    </w:p>
    <w:p>
      <w:pPr>
        <w:pStyle w:val="Normal"/>
        <w:rPr/>
      </w:pPr>
      <w:r>
        <w:rPr>
          <w:b/>
          <w:bCs/>
        </w:rPr>
        <w:t>8.1</w:t>
      </w:r>
      <w:r>
        <w:rPr/>
        <w:tab/>
        <w:t>L'allegato &lt;Inserire numero o lettera&gt; mostra l'ubicazione delle aree di regata.</w:t>
      </w:r>
    </w:p>
    <w:p>
      <w:pPr>
        <w:pStyle w:val="Normal"/>
        <w:rPr>
          <w:i/>
          <w:iCs/>
        </w:rPr>
      </w:pPr>
      <w:r>
        <w:rPr>
          <w:i/>
          <w:iCs/>
        </w:rPr>
        <w:t>(OPPURE)</w:t>
      </w:r>
    </w:p>
    <w:p>
      <w:pPr>
        <w:pStyle w:val="Normal"/>
        <w:rPr/>
      </w:pPr>
      <w:r>
        <w:rPr>
          <w:b/>
          <w:bCs/>
        </w:rPr>
        <w:t>8.1</w:t>
      </w:r>
      <w:r>
        <w:rPr/>
        <w:tab/>
        <w:t>La posizione dell'area di regata è &lt;descrivere la posizione&gt;.</w:t>
      </w:r>
    </w:p>
    <w:p>
      <w:pPr>
        <w:pStyle w:val="Normal"/>
        <w:rPr/>
      </w:pPr>
      <w:r>
        <w:rPr/>
      </w:r>
    </w:p>
    <w:p>
      <w:pPr>
        <w:pStyle w:val="Normal"/>
        <w:pBdr>
          <w:bottom w:val="single" w:sz="4" w:space="1" w:color="000000"/>
        </w:pBdr>
        <w:rPr>
          <w:b/>
          <w:bCs/>
        </w:rPr>
      </w:pPr>
      <w:r>
        <w:rPr>
          <w:b/>
          <w:bCs/>
        </w:rPr>
        <w:t>9</w:t>
        <w:tab/>
        <w:t>PERCORSI</w:t>
      </w:r>
    </w:p>
    <w:p>
      <w:pPr>
        <w:pStyle w:val="Normal"/>
        <w:rPr/>
      </w:pPr>
      <w:r>
        <w:rPr>
          <w:b/>
          <w:bCs/>
        </w:rPr>
        <w:t>9.1</w:t>
      </w:r>
      <w:r>
        <w:rPr/>
        <w:tab/>
        <w:t>I diagrammi sottostanti mostrano i percorsi, compresi gli angoli approssimativi tra i lati, e l'ordine in cui le boe devono essere passate.  Tutte le boe di percorso (eccetto i cancelli) devono essere lasciati a sinistra.</w:t>
      </w:r>
    </w:p>
    <w:p>
      <w:pPr>
        <w:pStyle w:val="Normal"/>
        <w:rPr/>
      </w:pPr>
      <w:r>
        <w:rPr/>
      </w:r>
    </w:p>
    <w:p>
      <w:pPr>
        <w:pStyle w:val="Normal"/>
        <w:rPr/>
      </w:pPr>
      <w:r>
        <w:rPr/>
        <w:drawing>
          <wp:inline distT="0" distB="0" distL="0" distR="0">
            <wp:extent cx="4023360" cy="3108960"/>
            <wp:effectExtent l="0" t="0" r="0" b="0"/>
            <wp:docPr id="2"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3"/>
                    <a:stretch>
                      <a:fillRect/>
                    </a:stretch>
                  </pic:blipFill>
                  <pic:spPr bwMode="auto">
                    <a:xfrm>
                      <a:off x="0" y="0"/>
                      <a:ext cx="4023360" cy="3108960"/>
                    </a:xfrm>
                    <a:prstGeom prst="rect">
                      <a:avLst/>
                    </a:prstGeom>
                    <a:noFill/>
                  </pic:spPr>
                </pic:pic>
              </a:graphicData>
            </a:graphic>
          </wp:inline>
        </w:drawing>
      </w:r>
    </w:p>
    <w:p>
      <w:pPr>
        <w:pStyle w:val="Normal"/>
        <w:rPr>
          <w:i/>
          <w:iCs/>
        </w:rPr>
      </w:pPr>
      <w:r>
        <w:rPr>
          <w:i/>
          <w:iCs/>
        </w:rPr>
      </w:r>
    </w:p>
    <w:p>
      <w:pPr>
        <w:pStyle w:val="Normal"/>
        <w:rPr>
          <w:i/>
          <w:iCs/>
        </w:rPr>
      </w:pPr>
      <w:r>
        <w:rPr>
          <w:i/>
          <w:iCs/>
        </w:rPr>
        <w:t>In alternativa</w:t>
      </w:r>
    </w:p>
    <w:p>
      <w:pPr>
        <w:pStyle w:val="Normal"/>
        <w:rPr>
          <w:i/>
          <w:iCs/>
        </w:rPr>
      </w:pPr>
      <w:r>
        <w:rPr>
          <w:i/>
          <w:iCs/>
        </w:rPr>
      </w:r>
    </w:p>
    <w:p>
      <w:pPr>
        <w:pStyle w:val="Normal"/>
        <w:rPr>
          <w:i/>
          <w:iCs/>
        </w:rPr>
      </w:pPr>
      <w:r>
        <w:rPr>
          <w:i/>
          <w:iCs/>
        </w:rPr>
        <w:drawing>
          <wp:anchor behindDoc="0" distT="0" distB="0" distL="0" distR="0" simplePos="0" locked="0" layoutInCell="0" allowOverlap="1" relativeHeight="4">
            <wp:simplePos x="0" y="0"/>
            <wp:positionH relativeFrom="column">
              <wp:posOffset>11430</wp:posOffset>
            </wp:positionH>
            <wp:positionV relativeFrom="paragraph">
              <wp:posOffset>43180</wp:posOffset>
            </wp:positionV>
            <wp:extent cx="3938905" cy="1588770"/>
            <wp:effectExtent l="0" t="0" r="0" b="0"/>
            <wp:wrapSquare wrapText="largest"/>
            <wp:docPr id="3"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pic:cNvPicPr>
                      <a:picLocks noChangeAspect="1" noChangeArrowheads="1"/>
                    </pic:cNvPicPr>
                  </pic:nvPicPr>
                  <pic:blipFill>
                    <a:blip r:embed="rId4"/>
                    <a:stretch>
                      <a:fillRect/>
                    </a:stretch>
                  </pic:blipFill>
                  <pic:spPr bwMode="auto">
                    <a:xfrm>
                      <a:off x="0" y="0"/>
                      <a:ext cx="3938905" cy="1588770"/>
                    </a:xfrm>
                    <a:prstGeom prst="rect">
                      <a:avLst/>
                    </a:prstGeom>
                    <a:noFill/>
                  </pic:spPr>
                </pic:pic>
              </a:graphicData>
            </a:graphic>
          </wp:anchor>
        </w:drawing>
      </w:r>
    </w:p>
    <w:p>
      <w:pPr>
        <w:pStyle w:val="Normal"/>
        <w:rPr>
          <w:i/>
          <w:iCs/>
        </w:rPr>
      </w:pPr>
      <w:r>
        <w:rPr>
          <w:i/>
          <w:iCs/>
        </w:rPr>
      </w:r>
    </w:p>
    <w:p>
      <w:pPr>
        <w:pStyle w:val="Normal"/>
        <w:rPr>
          <w:i/>
          <w:iCs/>
        </w:rPr>
      </w:pPr>
      <w:r>
        <w:rPr>
          <w:i/>
          <w:i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pPr>
      <w:r>
        <w:rPr>
          <w:b/>
          <w:bCs/>
        </w:rPr>
        <w:t>9.2</w:t>
      </w:r>
      <w:r>
        <w:rPr/>
        <w:tab/>
        <w:t xml:space="preserve">La bandiera di percorso (bandiera del C.I.S. "W", "T", "O", "W-2", "T-2" o "O-2") sarà issata accompagnata da un segnale acustico almeno un minuto prima del segnale di avviso.  Rimarrà esposta non meno di cinque minuti dopo la partenza. </w:t>
      </w:r>
    </w:p>
    <w:p>
      <w:pPr>
        <w:pStyle w:val="Normal"/>
        <w:rPr/>
      </w:pPr>
      <w:r>
        <w:rPr>
          <w:b/>
          <w:bCs/>
        </w:rPr>
        <w:t>9.3</w:t>
      </w:r>
      <w:r>
        <w:rPr/>
        <w:tab/>
        <w:t xml:space="preserve">Non più tardi del segnale di avviso, la barca del Comitato di Regata potrà esporre il rilevamento bussola approssimativo della prima bolina. </w:t>
      </w:r>
    </w:p>
    <w:p>
      <w:pPr>
        <w:pStyle w:val="Normal"/>
        <w:rPr/>
      </w:pPr>
      <w:r>
        <w:rPr>
          <w:b/>
          <w:bCs/>
        </w:rPr>
        <w:t>9.4</w:t>
      </w:r>
      <w:r>
        <w:rPr/>
        <w:tab/>
        <w:t xml:space="preserve">Se durante una regata il vento e/o l'azione delle onde cambiano al punto da rendere sconsigliabile il percorso scelto </w:t>
      </w:r>
      <w:r>
        <w:rPr>
          <w:i/>
          <w:iCs/>
        </w:rPr>
        <w:t>(vedi diagramma di selezione del percorso)</w:t>
      </w:r>
      <w:r>
        <w:rPr/>
        <w:t>, il Comitato di Regata potrà cambiare il percorso a qualsiasi boa. Una modifica del tipo di percorso durante la regata sarà segnalata esponendo la nuova bandiera accompagnata da ripetuti segnali acustici prima che la barca in testa abbia passato o doppiato la boa.</w:t>
      </w:r>
    </w:p>
    <w:p>
      <w:pPr>
        <w:pStyle w:val="Normal"/>
        <w:rPr/>
      </w:pPr>
      <w:r>
        <w:rPr>
          <w:b/>
          <w:bCs/>
        </w:rPr>
        <w:t>9.5</w:t>
      </w:r>
      <w:r>
        <w:rPr/>
        <w:tab/>
        <w:t xml:space="preserve">Una variazione </w:t>
      </w:r>
      <w:r>
        <w:rPr/>
        <w:t>persistente</w:t>
      </w:r>
      <w:r>
        <w:rPr/>
        <w:t xml:space="preserve"> del vento di 20 gradi o più rispetto alla direzione bussola durante il primo lato di una prova comporterà l’applicazione della RRS 32.1.</w:t>
      </w:r>
    </w:p>
    <w:p>
      <w:pPr>
        <w:pStyle w:val="Normal"/>
        <w:rPr/>
      </w:pPr>
      <w:r>
        <w:rPr>
          <w:b/>
          <w:bCs/>
        </w:rPr>
        <w:t>9.6</w:t>
      </w:r>
      <w:r>
        <w:rPr/>
        <w:tab/>
        <w:t xml:space="preserve">Una variazione </w:t>
      </w:r>
      <w:r>
        <w:rPr/>
        <w:t>persistente</w:t>
      </w:r>
      <w:r>
        <w:rPr/>
        <w:t xml:space="preserve"> del vento di 40 gradi o più rispetto alla direzione bussola durante il primo giro di una prova comporterà l’applicazione della RRS 32.1. Ai fini di questa regola, per giro si intende il giro della boa 3 (o il superamento del cancello 3s-3p) per la prima volta.</w:t>
      </w:r>
    </w:p>
    <w:p>
      <w:pPr>
        <w:pStyle w:val="Normal"/>
        <w:rPr/>
      </w:pPr>
      <w:r>
        <w:rPr>
          <w:b/>
          <w:bCs/>
        </w:rPr>
        <w:t>9.7</w:t>
      </w:r>
      <w:r>
        <w:rPr/>
        <w:tab/>
        <w:t>Il numero dei lati di una prova può essere ridotto (bandiera S del codice RRS) ma almeno 2 (due) lati di bolina devono essere completati. Questo modifica la RRS 32.2.</w:t>
      </w:r>
    </w:p>
    <w:p>
      <w:pPr>
        <w:pStyle w:val="Normal"/>
        <w:rPr/>
      </w:pPr>
      <w:r>
        <w:rPr>
          <w:b/>
          <w:bCs/>
        </w:rPr>
        <w:t>9.8</w:t>
      </w:r>
      <w:r>
        <w:rPr/>
        <w:tab/>
        <w:t>Il limite minimo di vento per la partenza è di 5 nodi. Per tutte le categorie, il limite di vento per regatare è quello indicato nelle Regole per la Conduzione dei Campionati Nazionali e Internazionali e con il Deed of Gift (quando applicabile).</w:t>
      </w:r>
    </w:p>
    <w:p>
      <w:pPr>
        <w:pStyle w:val="Normal"/>
        <w:rPr/>
      </w:pPr>
      <w:r>
        <w:rPr/>
      </w:r>
    </w:p>
    <w:p>
      <w:pPr>
        <w:pStyle w:val="Normal"/>
        <w:pBdr>
          <w:bottom w:val="single" w:sz="4" w:space="1" w:color="000000"/>
        </w:pBdr>
        <w:rPr>
          <w:b/>
          <w:bCs/>
        </w:rPr>
      </w:pPr>
      <w:r>
        <w:rPr>
          <w:b/>
          <w:bCs/>
        </w:rPr>
        <w:t>10</w:t>
        <w:tab/>
        <w:t>BOE</w:t>
      </w:r>
    </w:p>
    <w:p>
      <w:pPr>
        <w:pStyle w:val="Normal"/>
        <w:rPr/>
      </w:pPr>
      <w:r>
        <w:rPr>
          <w:b/>
          <w:bCs/>
        </w:rPr>
        <w:t>10.1</w:t>
      </w:r>
      <w:r>
        <w:rPr/>
        <w:tab/>
        <w:t>Le boe 1, 2, 3, 3s e 3p saranno &lt;descrivere le boe&gt;.</w:t>
      </w:r>
    </w:p>
    <w:p>
      <w:pPr>
        <w:pStyle w:val="Normal"/>
        <w:rPr/>
      </w:pPr>
      <w:r>
        <w:rPr>
          <w:b/>
          <w:bCs/>
        </w:rPr>
        <w:t>10.2</w:t>
      </w:r>
      <w:r>
        <w:rPr/>
        <w:tab/>
        <w:t>La boa 1A sarà &lt;descrivere la boa&gt;.</w:t>
      </w:r>
    </w:p>
    <w:p>
      <w:pPr>
        <w:pStyle w:val="Normal"/>
        <w:rPr/>
      </w:pPr>
      <w:r>
        <w:rPr>
          <w:b/>
          <w:bCs/>
        </w:rPr>
        <w:t>10.3</w:t>
      </w:r>
      <w:r>
        <w:rPr/>
        <w:tab/>
        <w:t>La boa di partenza sarà:</w:t>
      </w:r>
    </w:p>
    <w:p>
      <w:pPr>
        <w:pStyle w:val="Normal"/>
        <w:rPr/>
      </w:pPr>
      <w:r>
        <w:rPr/>
        <w:tab/>
        <w:t>a) una barca con bandiera arancione esposta;</w:t>
      </w:r>
    </w:p>
    <w:p>
      <w:pPr>
        <w:pStyle w:val="Normal"/>
        <w:rPr/>
      </w:pPr>
      <w:r>
        <w:rPr/>
        <w:tab/>
        <w:t>(OPPURE)</w:t>
      </w:r>
    </w:p>
    <w:p>
      <w:pPr>
        <w:pStyle w:val="Normal"/>
        <w:rPr/>
      </w:pPr>
      <w:r>
        <w:rPr/>
        <w:tab/>
        <w:t>b) una boa gonfiabile &lt;descrivere una nuova boa&gt;.</w:t>
      </w:r>
    </w:p>
    <w:p>
      <w:pPr>
        <w:pStyle w:val="Normal"/>
        <w:rPr/>
      </w:pPr>
      <w:r>
        <w:rPr>
          <w:b/>
          <w:bCs/>
        </w:rPr>
        <w:t>10.4</w:t>
      </w:r>
      <w:r>
        <w:rPr/>
        <w:tab/>
        <w:t xml:space="preserve">La boa di arrivo sarà: </w:t>
      </w:r>
    </w:p>
    <w:p>
      <w:pPr>
        <w:pStyle w:val="Normal"/>
        <w:rPr/>
      </w:pPr>
      <w:r>
        <w:rPr/>
        <w:tab/>
        <w:t>- boa 1 per i percorsi "W", "O" e "T";</w:t>
      </w:r>
    </w:p>
    <w:p>
      <w:pPr>
        <w:pStyle w:val="Normal"/>
        <w:rPr/>
      </w:pPr>
      <w:r>
        <w:rPr/>
        <w:tab/>
        <w:t>- &lt;descrivere la boa&gt; per i percorsi "W-2", "O-2" e "T-2".</w:t>
      </w:r>
    </w:p>
    <w:p>
      <w:pPr>
        <w:pStyle w:val="Normal"/>
        <w:rPr/>
      </w:pPr>
      <w:r>
        <w:rPr>
          <w:b/>
          <w:bCs/>
        </w:rPr>
        <w:t>10.5</w:t>
      </w:r>
      <w:r>
        <w:rPr/>
        <w:tab/>
        <w:t>Tranne che in corrispondenza di un cancello, un'imbarcazione del Comitato di Regata che segnala il cambio di un lato del percorso è una boa, come previsto dalla RRS 13.2.</w:t>
      </w:r>
    </w:p>
    <w:p>
      <w:pPr>
        <w:pStyle w:val="Normal"/>
        <w:rPr/>
      </w:pPr>
      <w:r>
        <w:rPr>
          <w:b/>
          <w:bCs/>
        </w:rPr>
        <w:t>10.6</w:t>
      </w:r>
      <w:r>
        <w:rPr/>
        <w:tab/>
        <w:t>Se una delle boe "cancello 3s-3p" non viene posizionata, o non viene sostituita come previsto dalla RRS 34, la boa rimanente dovrà essere lasciata a sinistra. Questo modifica la RRS 34.</w:t>
      </w:r>
    </w:p>
    <w:p>
      <w:pPr>
        <w:pStyle w:val="Normal"/>
        <w:tabs>
          <w:tab w:val="clear" w:pos="709"/>
          <w:tab w:val="left" w:pos="741" w:leader="none"/>
        </w:tabs>
        <w:jc w:val="both"/>
        <w:rPr/>
      </w:pPr>
      <w:r>
        <w:rPr>
          <w:b/>
          <w:bCs/>
        </w:rPr>
        <w:t>10.7</w:t>
      </w:r>
      <w:r>
        <w:rPr/>
        <w:tab/>
        <w:t>La nuova boa usata per il cambio del lato successivo del percorso sarà &lt;descrivere la nuova boa&gt;</w:t>
      </w:r>
    </w:p>
    <w:p>
      <w:pPr>
        <w:pStyle w:val="Normal"/>
        <w:tabs>
          <w:tab w:val="clear" w:pos="709"/>
          <w:tab w:val="left" w:pos="741" w:leader="none"/>
        </w:tabs>
        <w:jc w:val="both"/>
        <w:rPr/>
      </w:pPr>
      <w:r>
        <w:rPr>
          <w:b/>
        </w:rPr>
        <w:t>10.8</w:t>
        <w:tab/>
      </w:r>
      <w:r>
        <w:rPr/>
        <w:t xml:space="preserve">Se dovesse mancare una boa di cancello, e non sarà rimpiazzata, la boa rimanente dovrà essere lasciata a sinistra (modifica la RRS 34). </w:t>
      </w:r>
    </w:p>
    <w:p>
      <w:pPr>
        <w:pStyle w:val="Normal"/>
        <w:rPr>
          <w:shd w:fill="FFFF00" w:val="clear"/>
        </w:rPr>
      </w:pPr>
      <w:r>
        <w:rPr>
          <w:shd w:fill="FFFF00" w:val="clear"/>
        </w:rPr>
      </w:r>
    </w:p>
    <w:p>
      <w:pPr>
        <w:pStyle w:val="Normal"/>
        <w:pBdr>
          <w:bottom w:val="single" w:sz="4" w:space="1" w:color="000000"/>
        </w:pBdr>
        <w:rPr/>
      </w:pPr>
      <w:r>
        <w:rPr>
          <w:b/>
          <w:bCs/>
        </w:rPr>
        <w:t>11</w:t>
        <w:tab/>
        <w:t xml:space="preserve">AREE CHE COSTITUISCONO UN OSTACOLO </w:t>
      </w:r>
      <w:r>
        <w:rPr/>
        <w:t>[*Opzionale*]</w:t>
      </w:r>
    </w:p>
    <w:p>
      <w:pPr>
        <w:pStyle w:val="Normal"/>
        <w:rPr/>
      </w:pPr>
      <w:r>
        <w:rPr>
          <w:b/>
          <w:bCs/>
        </w:rPr>
        <w:t>11.1</w:t>
      </w:r>
      <w:r>
        <w:rPr/>
        <w:tab/>
        <w:t>Le seguenti aree che costituiscono un ostacolo: &lt;Descrivere le aree di ostruzione&gt;.</w:t>
      </w:r>
    </w:p>
    <w:p>
      <w:pPr>
        <w:pStyle w:val="Normal"/>
        <w:rPr/>
      </w:pPr>
      <w:r>
        <w:rPr/>
      </w:r>
    </w:p>
    <w:p>
      <w:pPr>
        <w:pStyle w:val="Normal"/>
        <w:pBdr>
          <w:bottom w:val="single" w:sz="4" w:space="1" w:color="000000"/>
        </w:pBdr>
        <w:rPr>
          <w:b/>
          <w:bCs/>
        </w:rPr>
      </w:pPr>
      <w:r>
        <w:rPr>
          <w:b/>
          <w:bCs/>
        </w:rPr>
        <w:t>12</w:t>
        <w:tab/>
        <w:t>PARTENZA</w:t>
      </w:r>
    </w:p>
    <w:p>
      <w:pPr>
        <w:pStyle w:val="Normal"/>
        <w:rPr/>
      </w:pPr>
      <w:r>
        <w:rPr>
          <w:b/>
          <w:bCs/>
        </w:rPr>
        <w:t>12.1</w:t>
      </w:r>
      <w:r>
        <w:rPr/>
        <w:tab/>
        <w:t>Le prove partiranno come da regola 26 con segnale di avviso dato 5 minuti prima del segnale di partenza.</w:t>
      </w:r>
    </w:p>
    <w:p>
      <w:pPr>
        <w:pStyle w:val="Normal"/>
        <w:rPr/>
      </w:pPr>
      <w:r>
        <w:rPr>
          <w:b/>
          <w:bCs/>
        </w:rPr>
        <w:t>12.2</w:t>
      </w:r>
      <w:r>
        <w:rPr/>
        <w:tab/>
        <w:t>La linea di partenza sarà compresa tra un'asta che espone una bandiera arancione sull'imbarcazione del Comitato di Regata all'estremità di dritta e:</w:t>
      </w:r>
    </w:p>
    <w:p>
      <w:pPr>
        <w:pStyle w:val="Normal"/>
        <w:rPr/>
      </w:pPr>
      <w:r>
        <w:rPr/>
        <w:t xml:space="preserve"> </w:t>
      </w:r>
      <w:r>
        <w:rPr/>
        <w:t>(a) il lato del percorso di una boa posta sul lato sinistro della linea, oppure</w:t>
      </w:r>
    </w:p>
    <w:p>
      <w:pPr>
        <w:pStyle w:val="Normal"/>
        <w:rPr/>
      </w:pPr>
      <w:r>
        <w:rPr/>
        <w:t xml:space="preserve"> </w:t>
      </w:r>
      <w:r>
        <w:rPr/>
        <w:t>(b) un’asta con bandiera arancione sul battello contro-starter posto sul lato sinistro della linea.</w:t>
      </w:r>
    </w:p>
    <w:p>
      <w:pPr>
        <w:pStyle w:val="Normal"/>
        <w:rPr/>
      </w:pPr>
      <w:r>
        <w:rPr>
          <w:b/>
          <w:bCs/>
        </w:rPr>
        <w:t>12.3</w:t>
      </w:r>
      <w:r>
        <w:rPr/>
        <w:tab/>
        <w:t xml:space="preserve">Una barca che parte oltre 5 minuti dopo il segnale di partenza riceverà il punteggio di DNS senza udienza. Questo modifica le Appendici A4 e A5. </w:t>
      </w:r>
    </w:p>
    <w:p>
      <w:pPr>
        <w:pStyle w:val="Normal"/>
        <w:rPr/>
      </w:pPr>
      <w:r>
        <w:rPr>
          <w:b/>
          <w:bCs/>
        </w:rPr>
        <w:t>12.4</w:t>
      </w:r>
      <w:r>
        <w:rPr/>
        <w:tab/>
        <w:t xml:space="preserve">La RRS 30.4 si applica solo con flotte con più di 45 barche e dopo il </w:t>
      </w:r>
      <w:r>
        <w:rPr/>
        <w:t>primo</w:t>
      </w:r>
      <w:r>
        <w:rPr/>
        <w:t xml:space="preserve"> richiamo generale </w:t>
      </w:r>
      <w:r>
        <w:rPr/>
        <w:t>con bandiera U del CIS</w:t>
      </w:r>
      <w:r>
        <w:rPr/>
        <w:t xml:space="preserve">. </w:t>
      </w:r>
    </w:p>
    <w:p>
      <w:pPr>
        <w:pStyle w:val="Normal"/>
        <w:jc w:val="both"/>
        <w:rPr/>
      </w:pPr>
      <w:r>
        <w:rPr>
          <w:b/>
          <w:bCs/>
        </w:rPr>
        <w:t>12.5</w:t>
      </w:r>
      <w:r>
        <w:rPr/>
        <w:tab/>
        <w:t>Il Comitato di Regata, dopo il termine di una prova e prima del segnale di avviso di una successiva esporrà la lista delle barche OCS, ZPF, UFD o BFD.  La mancata esposizione o un elenco incompleto o errato non costituiranno motivo di richiesta di riparazione. Questo modifica la RRS 61.1(a).</w:t>
      </w:r>
    </w:p>
    <w:p>
      <w:pPr>
        <w:pStyle w:val="Normal"/>
        <w:rPr/>
      </w:pPr>
      <w:r>
        <w:rPr>
          <w:b/>
          <w:bCs/>
        </w:rPr>
        <w:t>12.6</w:t>
      </w:r>
      <w:r>
        <w:rPr/>
        <w:tab/>
        <w:t>Per avvisare le barche che una prova o una sequenza di prove inizierà a breve, sarà esposta la bandiera arancione accompagnata da un segnale acustico almeno &lt;inserire tempo&gt; minuti prima che venga issato il segnale di avviso.</w:t>
      </w:r>
    </w:p>
    <w:p>
      <w:pPr>
        <w:pStyle w:val="Normal"/>
        <w:rPr/>
      </w:pPr>
      <w:r>
        <w:rPr/>
      </w:r>
    </w:p>
    <w:p>
      <w:pPr>
        <w:pStyle w:val="Normal"/>
        <w:pBdr>
          <w:bottom w:val="single" w:sz="4" w:space="1" w:color="000000"/>
        </w:pBdr>
        <w:rPr>
          <w:b/>
          <w:bCs/>
        </w:rPr>
      </w:pPr>
      <w:r>
        <w:rPr>
          <w:b/>
          <w:bCs/>
        </w:rPr>
        <w:t>13</w:t>
        <w:tab/>
        <w:t>CAMBIO DEL SUCCESSIVO LATO DEL PERCORSO</w:t>
      </w:r>
    </w:p>
    <w:p>
      <w:pPr>
        <w:pStyle w:val="Normal"/>
        <w:rPr/>
      </w:pPr>
      <w:r>
        <w:rPr>
          <w:b/>
          <w:bCs/>
        </w:rPr>
        <w:t>13.1</w:t>
      </w:r>
      <w:r>
        <w:rPr/>
        <w:tab/>
        <w:t>Per cambiare il successivo lato del percorso, il Comitato di Regata poserà la nuova boa. Quando la nuova boa viene posata, la boa originale sarà rimossa il prima possibile. In caso di un successivo cambio di percorso verrà posata la boa originale.</w:t>
      </w:r>
    </w:p>
    <w:p>
      <w:pPr>
        <w:pStyle w:val="Normal"/>
        <w:rPr/>
      </w:pPr>
      <w:r>
        <w:rPr>
          <w:b/>
          <w:bCs/>
        </w:rPr>
        <w:t>13.2</w:t>
      </w:r>
      <w:r>
        <w:rPr/>
        <w:tab/>
        <w:t>Tranne che in corrispondenza di un cancello, le barche dovranno passare tra il battello del Comitato di Regata che segnala il cambio del lato successivo e la boa vicina, lasciando la boa a sinistra e il battello del Comitato di Regata a dritta. Questo modifica la RRS 28.</w:t>
      </w:r>
    </w:p>
    <w:p>
      <w:pPr>
        <w:pStyle w:val="Normal"/>
        <w:rPr/>
      </w:pPr>
      <w:r>
        <w:rPr>
          <w:b/>
          <w:bCs/>
        </w:rPr>
        <w:t>13.3</w:t>
      </w:r>
      <w:r>
        <w:rPr/>
        <w:tab/>
        <w:t xml:space="preserve">Dopo il completamento del primo lato di bolina, la lunghezza dei lati successivi può essere aumentata o diminuita di non più del 30% della lunghezza originale. Questo modifica la RRS 33. </w:t>
      </w:r>
      <w:r>
        <w:rPr>
          <w:color w:val="FF0000"/>
        </w:rPr>
        <w:t>[*Il Rappresentante della SCIRA deve essere consultato su qualsiasi cambiamento di percorso che influisca sulla sua durata.*]</w:t>
      </w:r>
    </w:p>
    <w:p>
      <w:pPr>
        <w:pStyle w:val="Normal"/>
        <w:rPr/>
      </w:pPr>
      <w:r>
        <w:rPr>
          <w:b/>
          <w:bCs/>
        </w:rPr>
        <w:t>13.4</w:t>
      </w:r>
      <w:r>
        <w:rPr/>
        <w:tab/>
        <w:t>Se la posizione della boa 1 sarà cambiata nei percorsi "W" o "W2", la boa 1A (offset) non sarà più boa di percorso.</w:t>
      </w:r>
    </w:p>
    <w:p>
      <w:pPr>
        <w:pStyle w:val="Normal"/>
        <w:rPr/>
      </w:pPr>
      <w:r>
        <w:rPr/>
      </w:r>
    </w:p>
    <w:p>
      <w:pPr>
        <w:pStyle w:val="Normal"/>
        <w:pBdr>
          <w:bottom w:val="single" w:sz="4" w:space="1" w:color="000000"/>
        </w:pBdr>
        <w:rPr>
          <w:b/>
          <w:bCs/>
        </w:rPr>
      </w:pPr>
      <w:r>
        <w:rPr>
          <w:b/>
          <w:bCs/>
        </w:rPr>
        <w:t>14</w:t>
        <w:tab/>
        <w:t>ARRIVO</w:t>
      </w:r>
    </w:p>
    <w:p>
      <w:pPr>
        <w:pStyle w:val="Normal"/>
        <w:rPr/>
      </w:pPr>
      <w:r>
        <w:rPr>
          <w:b/>
          <w:bCs/>
        </w:rPr>
        <w:t>14.1</w:t>
      </w:r>
      <w:r>
        <w:rPr/>
        <w:tab/>
        <w:t>La linea di arrivo sarà tra un’asta che espone una bandiera blu su un'imbarcazione del Comitato di Regata e il lato di percorso della boa di arrivo.</w:t>
      </w:r>
    </w:p>
    <w:p>
      <w:pPr>
        <w:pStyle w:val="Normal"/>
        <w:rPr/>
      </w:pPr>
      <w:r>
        <w:rPr>
          <w:b/>
          <w:bCs/>
        </w:rPr>
        <w:t>14.2</w:t>
      </w:r>
      <w:r>
        <w:rPr/>
        <w:tab/>
        <w:t>La bandiera A esposta all'arrivo sul battello del Comitato di Regata significa che non ci saranno ulteriori prove nella giornata. (Modifica dei Segnali di Regata)</w:t>
      </w:r>
    </w:p>
    <w:p>
      <w:pPr>
        <w:pStyle w:val="Normal"/>
        <w:rPr/>
      </w:pPr>
      <w:r>
        <w:rPr/>
      </w:r>
    </w:p>
    <w:p>
      <w:pPr>
        <w:pStyle w:val="Normal"/>
        <w:pBdr>
          <w:bottom w:val="single" w:sz="4" w:space="1" w:color="000000"/>
        </w:pBdr>
        <w:rPr>
          <w:b/>
          <w:bCs/>
        </w:rPr>
      </w:pPr>
      <w:r>
        <w:rPr>
          <w:b/>
          <w:bCs/>
        </w:rPr>
        <w:t>15</w:t>
        <w:tab/>
        <w:t>TEMPI LIMITE</w:t>
      </w:r>
    </w:p>
    <w:p>
      <w:pPr>
        <w:pStyle w:val="Normal"/>
        <w:rPr/>
      </w:pPr>
      <w:r>
        <w:rPr>
          <w:b/>
          <w:bCs/>
        </w:rPr>
        <w:t>15.1</w:t>
      </w:r>
      <w:r>
        <w:rPr/>
        <w:tab/>
        <w:t>I percorsi saranno disposti per avere una durata approssimativa di 60-75 minuti. Un tempo diverso (più breve o più lungo) utilizzato per completare la prova non sarà motivo di richiesta di riparazione. Questo modifica la RRS 61.1(a).</w:t>
      </w:r>
    </w:p>
    <w:p>
      <w:pPr>
        <w:pStyle w:val="Normal"/>
        <w:rPr/>
      </w:pPr>
      <w:r>
        <w:rPr>
          <w:b/>
          <w:bCs/>
        </w:rPr>
        <w:t>15.2</w:t>
      </w:r>
      <w:r>
        <w:rPr/>
        <w:tab/>
        <w:t>Il tempo limite per il completamento del primo giro da parte della prima barca è di 40 minuti dalla partenza. Se la prima barca non riesce a completare il primo giro entro 40 minuti, il Comitato di Regata dovrà interrompere la regata. Ai fini di questa regola, per giro si intende il superamento della boa 3 (o il passaggio del cancello 3s/3p) per la prima volta.</w:t>
      </w:r>
    </w:p>
    <w:p>
      <w:pPr>
        <w:pStyle w:val="Normal"/>
        <w:rPr/>
      </w:pPr>
      <w:r>
        <w:rPr>
          <w:b/>
          <w:bCs/>
        </w:rPr>
        <w:t>15.3</w:t>
      </w:r>
      <w:r>
        <w:rPr/>
        <w:tab/>
        <w:t xml:space="preserve">Il tempo limite per terminare la prova per la prima barca sarà di 1 ora e 30 minuti. Una barca che finisca oltre </w:t>
      </w:r>
      <w:r>
        <w:rPr/>
        <w:t>20</w:t>
      </w:r>
      <w:r>
        <w:rPr/>
        <w:t xml:space="preserve"> minuti dopo l’arrivo della prima barca o che non riesca a finire entro </w:t>
      </w:r>
      <w:r>
        <w:rPr/>
        <w:t>1 ora e 50 minuti</w:t>
      </w:r>
      <w:r>
        <w:rPr/>
        <w:t xml:space="preserve"> dalla partenza, quale sia il tempo più breve, sarà classificata DNF. Questo modifica le RRS 35, A4 e A5.</w:t>
      </w:r>
    </w:p>
    <w:p>
      <w:pPr>
        <w:pStyle w:val="Normal"/>
        <w:rPr/>
      </w:pPr>
      <w:r>
        <w:rPr/>
      </w:r>
    </w:p>
    <w:p>
      <w:pPr>
        <w:pStyle w:val="Normal"/>
        <w:pBdr>
          <w:bottom w:val="single" w:sz="4" w:space="1" w:color="000000"/>
        </w:pBdr>
        <w:rPr>
          <w:b/>
          <w:bCs/>
        </w:rPr>
      </w:pPr>
      <w:r>
        <w:rPr>
          <w:b/>
          <w:bCs/>
        </w:rPr>
        <w:t>16</w:t>
        <w:tab/>
        <w:t>RICHIESTE DI UDIENZA</w:t>
      </w:r>
    </w:p>
    <w:p>
      <w:pPr>
        <w:pStyle w:val="Normal"/>
        <w:rPr/>
      </w:pPr>
      <w:r>
        <w:rPr>
          <w:b/>
          <w:bCs/>
        </w:rPr>
        <w:t>16.1</w:t>
      </w:r>
      <w:r>
        <w:rPr/>
        <w:tab/>
        <w:t>I moduli di protesta sono disponibili presso la Segreteria Regate, situato all'indirizzo &lt;inserire URL o località&gt;. Le proteste e le richieste di riparazione o di riapertura dovranno essere consegnate entro il termine previsto.</w:t>
      </w:r>
    </w:p>
    <w:p>
      <w:pPr>
        <w:pStyle w:val="Normal"/>
        <w:rPr/>
      </w:pPr>
      <w:r>
        <w:rPr>
          <w:b/>
          <w:bCs/>
        </w:rPr>
        <w:t>16.2</w:t>
      </w:r>
      <w:r>
        <w:rPr/>
        <w:tab/>
        <w:t>Il tempo limite per le proteste è di 90 minuti dopo l’arrivo dell’ultima barca nell'ultima prova del giorno o dopo che il Comitato di Regata ha segnalato che non vi saranno ulteriori prove nella giornata, quale sia il termine più tardivo.</w:t>
      </w:r>
    </w:p>
    <w:p>
      <w:pPr>
        <w:pStyle w:val="Normal"/>
        <w:rPr/>
      </w:pPr>
      <w:r>
        <w:rPr>
          <w:b/>
          <w:bCs/>
        </w:rPr>
        <w:t>16.3</w:t>
      </w:r>
      <w:r>
        <w:rPr/>
        <w:tab/>
        <w:t>I comunicati per informare i concorrenti delle udienze nelle quali sono parti o nominati come testimoni e il luogo dove si terranno le udienze, saranno affissi non oltre 30 minuti dallo scadere del tempo limite per le proteste.</w:t>
      </w:r>
    </w:p>
    <w:p>
      <w:pPr>
        <w:pStyle w:val="Normal"/>
        <w:rPr/>
      </w:pPr>
      <w:r>
        <w:rPr>
          <w:b/>
          <w:bCs/>
        </w:rPr>
        <w:t>16.4</w:t>
      </w:r>
      <w:r>
        <w:rPr/>
        <w:tab/>
        <w:t>I comunicati di protesta del Comitato di Regata, del Comitato Tecnico o del Comitato per le Proteste saranno affissi per informare le barche ai sensi della RRS 60.2(a)2.</w:t>
      </w:r>
    </w:p>
    <w:p>
      <w:pPr>
        <w:pStyle w:val="Normal"/>
        <w:rPr/>
      </w:pPr>
      <w:r>
        <w:rPr>
          <w:b/>
          <w:bCs/>
        </w:rPr>
        <w:t>16.5</w:t>
      </w:r>
      <w:r>
        <w:rPr/>
        <w:tab/>
        <w:t xml:space="preserve">La penalità per infrazioni alle regole delle Istruzioni di Regata contrassegnate con [SP] possono essere applicata a discrezione del Comitato di Regata, senza udienza, e sarà pari al &lt;inserire percentuale&gt; [*Suggerito 5%*] di penalità del punteggio nell’ultima prova completata dalla barca che ha commesso l'infrazione, ma non peggiore di un DSQ. </w:t>
      </w:r>
    </w:p>
    <w:p>
      <w:pPr>
        <w:pStyle w:val="Normal"/>
        <w:rPr/>
      </w:pPr>
      <w:r>
        <w:rPr>
          <w:b/>
          <w:bCs/>
        </w:rPr>
        <w:t>16.6</w:t>
      </w:r>
      <w:r>
        <w:rPr/>
        <w:tab/>
      </w:r>
      <w:r>
        <w:rPr>
          <w:b/>
        </w:rPr>
        <w:t>[SP]</w:t>
      </w:r>
      <w:r>
        <w:rPr/>
        <w:t xml:space="preserve"> Le penalità per infrazioni alle Regole di Classe possono essere inferiori alla squalifica. </w:t>
      </w:r>
      <w:r>
        <w:rPr/>
        <w:t>Sarà applicata la tabella Ufficiale delle Penalità SCIRA https://www.snipe.org/wp-content/uploads/2025/08/2025-OFFICIAL-SCIRA-PENALTY-TABLE.pdf</w:t>
      </w:r>
    </w:p>
    <w:p>
      <w:pPr>
        <w:pStyle w:val="Normal"/>
        <w:rPr/>
      </w:pPr>
      <w:r>
        <w:rPr>
          <w:b/>
          <w:bCs/>
        </w:rPr>
        <w:t>16.7</w:t>
      </w:r>
      <w:r>
        <w:rPr/>
        <w:tab/>
        <w:t>In base all'Appendice N2.2, la SCIRA si riserva il diritto e la responsabilità di decidere su questioni di eleggibilità, stazza e attrezzature.</w:t>
      </w:r>
    </w:p>
    <w:p>
      <w:pPr>
        <w:pStyle w:val="Normal"/>
        <w:rPr/>
      </w:pPr>
      <w:r>
        <w:rPr>
          <w:b/>
          <w:bCs/>
        </w:rPr>
        <w:t>16.8</w:t>
      </w:r>
      <w:r>
        <w:rPr/>
        <w:tab/>
        <w:t xml:space="preserve">Ai fini della RRS 63.5(d) l'"autorità responsabile" è </w:t>
      </w:r>
      <w:r>
        <w:rPr/>
        <w:t>il Comitato Tecnico</w:t>
      </w:r>
      <w:r>
        <w:rPr/>
        <w:t xml:space="preserve"> della manifestazione.</w:t>
      </w:r>
    </w:p>
    <w:p>
      <w:pPr>
        <w:pStyle w:val="Normal"/>
        <w:rPr/>
      </w:pPr>
      <w:r>
        <w:rPr>
          <w:b/>
          <w:bCs/>
        </w:rPr>
        <w:t>16.9</w:t>
      </w:r>
      <w:r>
        <w:rPr/>
        <w:tab/>
        <w:t xml:space="preserve">Il </w:t>
      </w:r>
      <w:r>
        <w:rPr/>
        <w:t>C</w:t>
      </w:r>
      <w:r>
        <w:rPr/>
        <w:t xml:space="preserve">omitato delle Proteste annullerà la prova se, durante un'udienza per richiesta di riparazione, concluderà che il Comitato di Regata non ha seguito le Istruzioni di Regata 9.7, 9.8 e 13.3. Ciò modifica la RRS 61.4(c). </w:t>
      </w:r>
    </w:p>
    <w:p>
      <w:pPr>
        <w:pStyle w:val="Normal"/>
        <w:rPr/>
      </w:pPr>
      <w:r>
        <w:rPr>
          <w:b/>
          <w:bCs/>
        </w:rPr>
        <w:t>16.10</w:t>
      </w:r>
      <w:r>
        <w:rPr/>
        <w:tab/>
        <w:t>Un elenco delle barche penalizzate per aver infranto la RRS 42, le RRS 29.1 (OCS), 30.1 (OCS), 30.2 (ZPF), 30.3 (UFD), 30.4 (BFD), le Istruzioni di Regata 16.5 e 16.6 sarà affisso all'Albo Ufficiale dei Comunicati.</w:t>
      </w:r>
    </w:p>
    <w:p>
      <w:pPr>
        <w:pStyle w:val="Normal"/>
        <w:tabs>
          <w:tab w:val="clear" w:pos="709"/>
          <w:tab w:val="left" w:pos="738" w:leader="none"/>
          <w:tab w:val="left" w:pos="1107" w:leader="none"/>
        </w:tabs>
        <w:ind w:hanging="567" w:left="567"/>
        <w:jc w:val="both"/>
        <w:rPr/>
      </w:pPr>
      <w:r>
        <w:rPr>
          <w:b/>
          <w:bCs/>
        </w:rPr>
        <w:t>16.11</w:t>
        <w:tab/>
      </w:r>
      <w:r>
        <w:rPr/>
        <w:tab/>
        <w:t>Nell’ultimo giorno di regata:</w:t>
      </w:r>
    </w:p>
    <w:p>
      <w:pPr>
        <w:pStyle w:val="Normal"/>
        <w:tabs>
          <w:tab w:val="clear" w:pos="709"/>
          <w:tab w:val="left" w:pos="1107" w:leader="none"/>
          <w:tab w:val="left" w:pos="1134" w:leader="none"/>
          <w:tab w:val="left" w:pos="1276" w:leader="none"/>
        </w:tabs>
        <w:ind w:hanging="907" w:left="567"/>
        <w:jc w:val="both"/>
        <w:rPr/>
      </w:pPr>
      <w:r>
        <w:rPr/>
        <w:tab/>
        <w:t>- una richiesta di riparazione dovrà essere presentata non più tardi del tempo limite per le proteste o di 30 minuti dopo l’incidente, quale che sia il termine più tardivo (modifica regola 61.2b);</w:t>
      </w:r>
    </w:p>
    <w:p>
      <w:pPr>
        <w:pStyle w:val="Normal"/>
        <w:tabs>
          <w:tab w:val="clear" w:pos="709"/>
          <w:tab w:val="left" w:pos="1107" w:leader="none"/>
          <w:tab w:val="left" w:pos="1134" w:leader="none"/>
          <w:tab w:val="left" w:pos="1276" w:leader="none"/>
        </w:tabs>
        <w:ind w:hanging="567" w:left="567"/>
        <w:jc w:val="both"/>
        <w:rPr/>
      </w:pPr>
      <w:r>
        <w:rPr/>
        <w:tab/>
        <w:t>- una richiesta di riapertura di udienza dovrà essere presentata:</w:t>
      </w:r>
    </w:p>
    <w:p>
      <w:pPr>
        <w:pStyle w:val="Normal"/>
        <w:ind w:hanging="737" w:left="737"/>
        <w:jc w:val="both"/>
        <w:rPr/>
      </w:pPr>
      <w:r>
        <w:rPr/>
        <w:tab/>
        <w:t>a) entro il tempo limite per le proteste, se la parte richiedente è stata informata sulla decisione il giorno precedente;</w:t>
      </w:r>
    </w:p>
    <w:p>
      <w:pPr>
        <w:pStyle w:val="Normal"/>
        <w:ind w:hanging="737" w:left="737"/>
        <w:jc w:val="both"/>
        <w:rPr/>
      </w:pPr>
      <w:r>
        <w:rPr/>
        <w:tab/>
        <w:t>b) non più tardi di 30 minuti dopo che la parte richiedente è stata informata sulla decisione in quel giorno.</w:t>
      </w:r>
    </w:p>
    <w:p>
      <w:pPr>
        <w:pStyle w:val="Normal"/>
        <w:tabs>
          <w:tab w:val="clear" w:pos="709"/>
          <w:tab w:val="left" w:pos="1107" w:leader="none"/>
          <w:tab w:val="left" w:pos="1134" w:leader="none"/>
          <w:tab w:val="left" w:pos="1276" w:leader="none"/>
          <w:tab w:val="left" w:pos="1560" w:leader="none"/>
        </w:tabs>
        <w:ind w:hanging="567" w:left="567"/>
        <w:jc w:val="both"/>
        <w:rPr/>
      </w:pPr>
      <w:r>
        <w:rPr/>
      </w:r>
    </w:p>
    <w:p>
      <w:pPr>
        <w:pStyle w:val="Normal"/>
        <w:pBdr>
          <w:bottom w:val="single" w:sz="4" w:space="1" w:color="000000"/>
        </w:pBdr>
        <w:rPr>
          <w:b/>
          <w:bCs/>
        </w:rPr>
      </w:pPr>
      <w:r>
        <w:rPr>
          <w:b/>
          <w:bCs/>
        </w:rPr>
        <w:t>17</w:t>
        <w:tab/>
        <w:t>PUNTEGGIO</w:t>
      </w:r>
    </w:p>
    <w:p>
      <w:pPr>
        <w:pStyle w:val="Normal"/>
        <w:rPr/>
      </w:pPr>
      <w:r>
        <w:rPr>
          <w:b/>
          <w:bCs/>
        </w:rPr>
        <w:t>17.1</w:t>
      </w:r>
      <w:r>
        <w:rPr/>
        <w:tab/>
        <w:t xml:space="preserve">La regata sarà valida se saranno completate almeno &lt;numero&gt; prove. </w:t>
      </w:r>
    </w:p>
    <w:p>
      <w:pPr>
        <w:pStyle w:val="Normal"/>
        <w:rPr/>
      </w:pPr>
      <w:r>
        <w:rPr>
          <w:b/>
          <w:bCs/>
        </w:rPr>
        <w:t>17.2</w:t>
      </w:r>
      <w:r>
        <w:rPr/>
        <w:tab/>
        <w:t>(a) Quando siano state completate meno di &lt;numero&gt; regate, il punteggio della serie di una barca sarà il totale dei punteggi delle sue prove.</w:t>
      </w:r>
    </w:p>
    <w:p>
      <w:pPr>
        <w:pStyle w:val="Normal"/>
        <w:rPr/>
      </w:pPr>
      <w:r>
        <w:rPr/>
        <w:tab/>
        <w:t>(b) Quando siano state completate da &lt;numero di regate&gt; a &lt;numero di regate&gt;, il punteggio della serie di una barca sarà il totale dei suoi punteggi di regata, escluso il suo punteggio peggiore. [*questa voce dovrebbe essere la stessa del Bando di Regata*].</w:t>
      </w:r>
    </w:p>
    <w:p>
      <w:pPr>
        <w:pStyle w:val="Normal"/>
        <w:rPr>
          <w:i/>
          <w:iCs/>
        </w:rPr>
      </w:pPr>
      <w:r>
        <w:rPr>
          <w:i/>
          <w:iCs/>
        </w:rPr>
        <w:t>OPPURE</w:t>
      </w:r>
    </w:p>
    <w:p>
      <w:pPr>
        <w:pStyle w:val="Normal"/>
        <w:rPr/>
      </w:pPr>
      <w:r>
        <w:rPr>
          <w:b/>
          <w:bCs/>
        </w:rPr>
        <w:t>17.1</w:t>
      </w:r>
      <w:r>
        <w:rPr/>
        <w:tab/>
        <w:t>[*Opzionale-Se gli iscritti sono maggiori di 80] La regata si effettuerà con il sistema a batterie secondo il seguente schema &lt;inserire il tipo di sistema utilizzato&gt;</w:t>
      </w:r>
    </w:p>
    <w:p>
      <w:pPr>
        <w:pStyle w:val="Normal"/>
        <w:rPr/>
      </w:pPr>
      <w:r>
        <w:rPr/>
      </w:r>
    </w:p>
    <w:p>
      <w:pPr>
        <w:pStyle w:val="Normal"/>
        <w:pBdr>
          <w:bottom w:val="single" w:sz="4" w:space="1" w:color="000000"/>
        </w:pBdr>
        <w:rPr>
          <w:b/>
          <w:bCs/>
        </w:rPr>
      </w:pPr>
      <w:r>
        <w:rPr>
          <w:b/>
          <w:bCs/>
        </w:rPr>
        <w:t>18</w:t>
        <w:tab/>
        <w:t xml:space="preserve">[NP][DP] REGOLE DI SICUREZZA </w:t>
      </w:r>
      <w:r>
        <w:rPr>
          <w:b w:val="false"/>
          <w:bCs w:val="false"/>
          <w:color w:val="auto"/>
          <w:sz w:val="20"/>
          <w:szCs w:val="20"/>
        </w:rPr>
        <w:t>[*Opzionale* per le acque interne, obbligatorio per il mare].</w:t>
      </w:r>
    </w:p>
    <w:p>
      <w:pPr>
        <w:pStyle w:val="Normal"/>
        <w:rPr/>
      </w:pPr>
      <w:r>
        <w:rPr>
          <w:b/>
          <w:bCs/>
        </w:rPr>
        <w:t>18.1</w:t>
      </w:r>
      <w:r>
        <w:rPr/>
        <w:tab/>
        <w:t xml:space="preserve">Prima del segnale di avviso della prima regata del giorno, ogni barca dovrà passare davanti alla poppa del battello del Comitato di Regata con le mure a dritta e registrarsi verbalmente.  Il battello per il check-in esporrà una bandiera &lt;inserire descrizione bandiera&gt; mentre è in posizione prima del primo segnale di avviso. Se non viene utilizzato un battello separato per il check-in, i concorrenti dovranno registrarsi con il battello principale del Comitato di Regata. Quando il Comitato di Regata riconosce verbalmente il numero di &lt;inserire numero velico o di prua&gt; di una barca, il check-in è stato ufficialmente registrato. </w:t>
      </w:r>
    </w:p>
    <w:p>
      <w:pPr>
        <w:pStyle w:val="Normal"/>
        <w:rPr>
          <w:i/>
          <w:iCs/>
        </w:rPr>
      </w:pPr>
      <w:r>
        <w:rPr>
          <w:i/>
          <w:iCs/>
        </w:rPr>
        <w:t>OPPURE</w:t>
      </w:r>
    </w:p>
    <w:p>
      <w:pPr>
        <w:pStyle w:val="Normal"/>
        <w:rPr/>
      </w:pPr>
      <w:r>
        <w:rPr>
          <w:b/>
          <w:bCs/>
        </w:rPr>
        <w:t>18.1</w:t>
      </w:r>
      <w:r>
        <w:rPr/>
        <w:tab/>
        <w:t>Check-out e check-in: descrivere qualsiasi procedura di check-out o check-in.</w:t>
      </w:r>
    </w:p>
    <w:p>
      <w:pPr>
        <w:pStyle w:val="Normal"/>
        <w:rPr/>
      </w:pPr>
      <w:r>
        <w:rPr>
          <w:b/>
          <w:bCs/>
        </w:rPr>
        <w:t>18.2</w:t>
      </w:r>
      <w:r>
        <w:rPr/>
        <w:tab/>
        <w:t>Una barca che si ritira da una regata deve informare il Comitato di Regata il prima possibile.</w:t>
      </w:r>
    </w:p>
    <w:p>
      <w:pPr>
        <w:pStyle w:val="Normal"/>
        <w:rPr/>
      </w:pPr>
      <w:r>
        <w:rPr/>
      </w:r>
    </w:p>
    <w:p>
      <w:pPr>
        <w:pStyle w:val="Normal"/>
        <w:pBdr>
          <w:bottom w:val="single" w:sz="4" w:space="1" w:color="000000"/>
        </w:pBdr>
        <w:rPr>
          <w:b/>
          <w:bCs/>
        </w:rPr>
      </w:pPr>
      <w:r>
        <w:rPr>
          <w:b/>
          <w:bCs/>
        </w:rPr>
        <w:t>19</w:t>
        <w:tab/>
        <w:t>SOSTITUZIONE DELL'EQUIPAGGIO O DELL'ATTREZZATURA</w:t>
      </w:r>
    </w:p>
    <w:p>
      <w:pPr>
        <w:pStyle w:val="Normal"/>
        <w:rPr/>
      </w:pPr>
      <w:r>
        <w:rPr>
          <w:b/>
          <w:bCs/>
        </w:rPr>
        <w:t>19.1</w:t>
      </w:r>
      <w:r>
        <w:rPr/>
        <w:tab/>
        <w:t>Lo stesso prodiere dovrà gareggiare in tutte le prove, tranne che per motivi soddisfacenti il Comitato di Regata.  Le richieste di sostituzione del prodiere dovranno essere presentate per iscritto al Presidente del Comitato di Regata. Una volta che un prodiere è stato esonerato, non può rientrare per il resto della serie.</w:t>
      </w:r>
    </w:p>
    <w:p>
      <w:pPr>
        <w:pStyle w:val="Normal"/>
        <w:rPr/>
      </w:pPr>
      <w:r>
        <w:rPr>
          <w:b/>
          <w:bCs/>
        </w:rPr>
        <w:t>19.2</w:t>
        <w:tab/>
      </w:r>
      <w:r>
        <w:rPr/>
        <w:t>Lo stesso timoniere dovrà gareggiare in tutte le prove e potrà essere sostituito solo dopo la prima prova, e solo in caso di manifesta incapacità. Se un timoniere viene sostituito, la prima prova sarà classificata DNC.</w:t>
      </w:r>
    </w:p>
    <w:p>
      <w:pPr>
        <w:pStyle w:val="Normal"/>
        <w:rPr/>
      </w:pPr>
      <w:r>
        <w:rPr>
          <w:b/>
          <w:bCs/>
        </w:rPr>
        <w:t>19.3</w:t>
        <w:tab/>
        <w:t>[DP]</w:t>
      </w:r>
      <w:r>
        <w:rPr/>
        <w:t xml:space="preserve"> La sostituzione di scafo, vele, appendici e attrezzatura non sarà consentita se non autorizzata per iscritto dal Comitato Tecnico [*Se il CT non è nominato, al Comitato di Regata]. Le richieste di sostituzione devono essere presentate al Comitato Tecnico [*Oppure al Comitato di Regata] alla prima occasione utile, che può essere dopo la prova.</w:t>
      </w:r>
    </w:p>
    <w:p>
      <w:pPr>
        <w:pStyle w:val="Normal"/>
        <w:rPr/>
      </w:pPr>
      <w:r>
        <w:rPr/>
      </w:r>
    </w:p>
    <w:p>
      <w:pPr>
        <w:pStyle w:val="Normal"/>
        <w:pBdr>
          <w:bottom w:val="single" w:sz="4" w:space="1" w:color="000000"/>
        </w:pBdr>
        <w:rPr>
          <w:b/>
          <w:bCs/>
        </w:rPr>
      </w:pPr>
      <w:r>
        <w:rPr>
          <w:b/>
          <w:bCs/>
        </w:rPr>
        <w:t>20</w:t>
        <w:tab/>
        <w:t>IMBARCAZIONI UFFICIALI</w:t>
      </w:r>
    </w:p>
    <w:p>
      <w:pPr>
        <w:pStyle w:val="Normal"/>
        <w:rPr/>
      </w:pPr>
      <w:r>
        <w:rPr>
          <w:b/>
          <w:bCs/>
        </w:rPr>
        <w:t>20.1</w:t>
      </w:r>
      <w:r>
        <w:rPr/>
        <w:tab/>
        <w:t>Le imbarcazioni ufficiali saranno contrassegnate come segue: &lt;descrivere&gt;.</w:t>
      </w:r>
    </w:p>
    <w:p>
      <w:pPr>
        <w:pStyle w:val="Normal"/>
        <w:rPr/>
      </w:pPr>
      <w:r>
        <w:rPr/>
      </w:r>
    </w:p>
    <w:p>
      <w:pPr>
        <w:pStyle w:val="Normal"/>
        <w:pBdr>
          <w:bottom w:val="single" w:sz="4" w:space="1" w:color="000000"/>
        </w:pBdr>
        <w:rPr>
          <w:b/>
          <w:bCs/>
        </w:rPr>
      </w:pPr>
      <w:r>
        <w:rPr>
          <w:b/>
          <w:bCs/>
        </w:rPr>
        <w:t>21</w:t>
        <w:tab/>
        <w:t>COMUNICAZIONI RADIO [DP]</w:t>
      </w:r>
    </w:p>
    <w:p>
      <w:pPr>
        <w:pStyle w:val="Normal"/>
        <w:rPr/>
      </w:pPr>
      <w:r>
        <w:rPr>
          <w:b/>
          <w:bCs/>
        </w:rPr>
        <w:t>21.1</w:t>
      </w:r>
      <w:r>
        <w:rPr/>
        <w:tab/>
        <w:t xml:space="preserve">Una barca in regata non dovrà effettuare trasmissioni vocali o di dati e non dovrà ricevere comunicazioni vocali o di dati che non siano disponibili a tutte le barche, tranne in caso di emergenza o quando si utilizza l'attrezzatura fornita dal comitato di regata. </w:t>
      </w:r>
    </w:p>
    <w:p>
      <w:pPr>
        <w:pStyle w:val="Normal"/>
        <w:rPr/>
      </w:pPr>
      <w:r>
        <w:rPr/>
      </w:r>
    </w:p>
    <w:p>
      <w:pPr>
        <w:pStyle w:val="Normal"/>
        <w:pBdr>
          <w:bottom w:val="single" w:sz="4" w:space="1" w:color="000000"/>
        </w:pBdr>
        <w:rPr/>
      </w:pPr>
      <w:r>
        <w:rPr>
          <w:b/>
          <w:bCs/>
        </w:rPr>
        <w:t>22</w:t>
        <w:tab/>
        <w:t>SMALTIMENTO DEI RIFIUTI [NP] [DP]</w:t>
      </w:r>
      <w:r>
        <w:rPr/>
        <w:t xml:space="preserve"> </w:t>
      </w:r>
    </w:p>
    <w:p>
      <w:pPr>
        <w:pStyle w:val="Normal"/>
        <w:rPr/>
      </w:pPr>
      <w:r>
        <w:rPr>
          <w:b/>
          <w:bCs/>
        </w:rPr>
        <w:t>22.1</w:t>
      </w:r>
      <w:r>
        <w:rPr/>
        <w:tab/>
        <w:t>I rifiuti possono essere depositati a bordo delle imbarcazioni di supporto e del Comitato.</w:t>
      </w:r>
    </w:p>
    <w:p>
      <w:pPr>
        <w:pStyle w:val="Normal"/>
        <w:rPr/>
      </w:pPr>
      <w:r>
        <w:rPr/>
      </w:r>
    </w:p>
    <w:p>
      <w:pPr>
        <w:pStyle w:val="Normal"/>
        <w:jc w:val="center"/>
        <w:rPr>
          <w:rFonts w:ascii="Arial Nova" w:hAnsi="Arial Nova"/>
          <w:b/>
          <w:color w:val="365F91"/>
          <w:sz w:val="32"/>
          <w:szCs w:val="32"/>
        </w:rPr>
      </w:pPr>
      <w:r>
        <w:rPr>
          <w:rFonts w:ascii="Arial Nova" w:hAnsi="Arial Nova"/>
          <w:b/>
          <w:color w:val="365F91"/>
          <w:sz w:val="32"/>
          <w:szCs w:val="32"/>
        </w:rPr>
      </w:r>
    </w:p>
    <w:p>
      <w:pPr>
        <w:pStyle w:val="Normal"/>
        <w:jc w:val="center"/>
        <w:rPr>
          <w:rFonts w:ascii="Arial Nova" w:hAnsi="Arial Nova"/>
          <w:b/>
          <w:color w:val="365F91"/>
          <w:sz w:val="32"/>
          <w:szCs w:val="32"/>
        </w:rPr>
      </w:pPr>
      <w:r>
        <w:rPr>
          <w:rFonts w:ascii="Arial Nova" w:hAnsi="Arial Nova"/>
          <w:b/>
          <w:color w:val="365F91"/>
          <w:sz w:val="32"/>
          <w:szCs w:val="32"/>
        </w:rPr>
      </w:r>
    </w:p>
    <w:p>
      <w:pPr>
        <w:pStyle w:val="Normal"/>
        <w:jc w:val="center"/>
        <w:rPr>
          <w:rFonts w:ascii="Arial Nova" w:hAnsi="Arial Nova"/>
          <w:b/>
          <w:color w:val="365F91"/>
          <w:sz w:val="32"/>
          <w:szCs w:val="32"/>
        </w:rPr>
      </w:pPr>
      <w:r>
        <w:rPr>
          <w:rFonts w:ascii="Arial Nova" w:hAnsi="Arial Nova"/>
          <w:b/>
          <w:color w:val="365F91"/>
          <w:sz w:val="32"/>
          <w:szCs w:val="32"/>
        </w:rPr>
      </w:r>
    </w:p>
    <w:p>
      <w:pPr>
        <w:pStyle w:val="Normal"/>
        <w:jc w:val="center"/>
        <w:rPr>
          <w:b/>
          <w:sz w:val="20"/>
          <w:szCs w:val="20"/>
        </w:rPr>
      </w:pPr>
      <w:r>
        <w:rPr>
          <w:rFonts w:ascii="Arial Nova" w:hAnsi="Arial Nova"/>
          <w:b/>
          <w:color w:val="365F91"/>
          <w:sz w:val="32"/>
          <w:szCs w:val="32"/>
        </w:rPr>
        <w:t xml:space="preserve">Allegato 1/BPS </w:t>
      </w:r>
      <w:r>
        <w:rPr>
          <w:rFonts w:ascii="Arial Nova" w:hAnsi="Arial Nova"/>
          <w:b/>
          <w:color w:val="365F91"/>
          <w:spacing w:val="2"/>
          <w:sz w:val="32"/>
          <w:szCs w:val="32"/>
        </w:rPr>
        <w:t>[DP]</w:t>
      </w:r>
    </w:p>
    <w:p>
      <w:pPr>
        <w:pStyle w:val="Normal"/>
        <w:ind w:left="155" w:right="-20"/>
        <w:jc w:val="center"/>
        <w:rPr>
          <w:b/>
          <w:sz w:val="20"/>
          <w:szCs w:val="20"/>
        </w:rPr>
      </w:pPr>
      <w:r>
        <w:rPr>
          <w:b/>
          <w:sz w:val="20"/>
          <w:szCs w:val="20"/>
        </w:rPr>
        <w:t>Regole per le Barche delle Persone di Supporto (BPS)</w:t>
      </w:r>
    </w:p>
    <w:p>
      <w:pPr>
        <w:pStyle w:val="Normal"/>
        <w:tabs>
          <w:tab w:val="clear" w:pos="709"/>
          <w:tab w:val="left" w:pos="780" w:leader="none"/>
        </w:tabs>
        <w:ind w:hanging="736" w:left="851" w:right="-20"/>
        <w:rPr>
          <w:b/>
          <w:spacing w:val="2"/>
        </w:rPr>
      </w:pPr>
      <w:r>
        <w:rPr>
          <w:b/>
          <w:spacing w:val="2"/>
        </w:rPr>
      </w:r>
    </w:p>
    <w:p>
      <w:pPr>
        <w:pStyle w:val="Normal"/>
        <w:tabs>
          <w:tab w:val="clear" w:pos="709"/>
          <w:tab w:val="left" w:pos="780" w:leader="none"/>
        </w:tabs>
        <w:ind w:hanging="736" w:left="851" w:right="-20"/>
        <w:rPr>
          <w:b/>
          <w:color w:val="365F91"/>
          <w:spacing w:val="2"/>
        </w:rPr>
      </w:pPr>
      <w:r>
        <w:rPr>
          <w:b/>
          <w:color w:val="365F91"/>
          <w:spacing w:val="2"/>
        </w:rPr>
        <w:t>B1 – GENERALE</w:t>
      </w:r>
    </w:p>
    <w:p>
      <w:pPr>
        <w:pStyle w:val="Normal"/>
        <w:tabs>
          <w:tab w:val="clear" w:pos="709"/>
          <w:tab w:val="left" w:pos="567" w:leader="none"/>
        </w:tabs>
        <w:ind w:hanging="736" w:left="709" w:right="-20"/>
        <w:rPr>
          <w:color w:val="365F91"/>
          <w:spacing w:val="2"/>
        </w:rPr>
      </w:pPr>
      <w:r>
        <w:rPr>
          <w:spacing w:val="2"/>
        </w:rPr>
        <w:tab/>
      </w:r>
    </w:p>
    <w:tbl>
      <w:tblPr>
        <w:tblW w:w="10188" w:type="dxa"/>
        <w:jc w:val="center"/>
        <w:tblInd w:w="0" w:type="dxa"/>
        <w:tblLayout w:type="fixed"/>
        <w:tblCellMar>
          <w:top w:w="0" w:type="dxa"/>
          <w:left w:w="108" w:type="dxa"/>
          <w:bottom w:w="0" w:type="dxa"/>
          <w:right w:w="108" w:type="dxa"/>
        </w:tblCellMar>
        <w:tblLook w:val="0000" w:noVBand="0" w:noHBand="0" w:lastColumn="0" w:firstColumn="0" w:lastRow="0" w:firstRow="0"/>
      </w:tblPr>
      <w:tblGrid>
        <w:gridCol w:w="712"/>
        <w:gridCol w:w="9476"/>
      </w:tblGrid>
      <w:tr>
        <w:trPr/>
        <w:tc>
          <w:tcPr>
            <w:tcW w:w="712" w:type="dxa"/>
            <w:tcBorders/>
          </w:tcPr>
          <w:p>
            <w:pPr>
              <w:pStyle w:val="Normal"/>
              <w:tabs>
                <w:tab w:val="clear" w:pos="709"/>
                <w:tab w:val="left" w:pos="780" w:leader="none"/>
              </w:tabs>
              <w:ind w:hanging="736" w:left="851" w:right="-20"/>
              <w:rPr>
                <w:spacing w:val="2"/>
              </w:rPr>
            </w:pPr>
            <w:r>
              <w:rPr>
                <w:spacing w:val="2"/>
              </w:rPr>
              <w:t>1.1</w:t>
            </w:r>
          </w:p>
        </w:tc>
        <w:tc>
          <w:tcPr>
            <w:tcW w:w="9476" w:type="dxa"/>
            <w:tcBorders/>
          </w:tcPr>
          <w:p>
            <w:pPr>
              <w:pStyle w:val="Normal"/>
              <w:tabs>
                <w:tab w:val="clear" w:pos="709"/>
                <w:tab w:val="left" w:pos="780" w:leader="none"/>
              </w:tabs>
              <w:ind w:hanging="736" w:left="851" w:right="-20"/>
              <w:rPr>
                <w:spacing w:val="2"/>
              </w:rPr>
            </w:pPr>
            <w:r>
              <w:rPr>
                <w:spacing w:val="2"/>
              </w:rPr>
              <w:t>Per BPS si intende qualsiasi barca che sia sotto il controllo o la direzione di una “Persona di Supporto” come da Definizione RRS 2025-2028;</w:t>
            </w:r>
          </w:p>
        </w:tc>
      </w:tr>
      <w:tr>
        <w:trPr/>
        <w:tc>
          <w:tcPr>
            <w:tcW w:w="712" w:type="dxa"/>
            <w:tcBorders/>
          </w:tcPr>
          <w:p>
            <w:pPr>
              <w:pStyle w:val="Normal"/>
              <w:tabs>
                <w:tab w:val="clear" w:pos="709"/>
                <w:tab w:val="left" w:pos="780" w:leader="none"/>
              </w:tabs>
              <w:ind w:hanging="736" w:left="851" w:right="-20"/>
              <w:rPr>
                <w:spacing w:val="2"/>
              </w:rPr>
            </w:pPr>
            <w:r>
              <w:rPr>
                <w:spacing w:val="2"/>
              </w:rPr>
              <w:t>1.2</w:t>
            </w:r>
          </w:p>
        </w:tc>
        <w:tc>
          <w:tcPr>
            <w:tcW w:w="9476" w:type="dxa"/>
            <w:tcBorders/>
          </w:tcPr>
          <w:p>
            <w:pPr>
              <w:pStyle w:val="Normal"/>
              <w:tabs>
                <w:tab w:val="clear" w:pos="709"/>
                <w:tab w:val="left" w:pos="780" w:leader="none"/>
              </w:tabs>
              <w:ind w:hanging="736" w:left="851" w:right="-20"/>
              <w:rPr>
                <w:spacing w:val="2"/>
              </w:rPr>
            </w:pPr>
            <w:r>
              <w:rPr>
                <w:spacing w:val="2"/>
              </w:rPr>
              <w:t>Queste Regole per le barche delle Persone di Supporto (BPS) dovranno essere rispettate sia a terra che in acqua. dalle &lt;inserire ora e giorno&gt; alla fine della manifestazione il &lt;inserire giorno&gt;;</w:t>
            </w:r>
          </w:p>
        </w:tc>
      </w:tr>
      <w:tr>
        <w:trPr/>
        <w:tc>
          <w:tcPr>
            <w:tcW w:w="712" w:type="dxa"/>
            <w:tcBorders/>
          </w:tcPr>
          <w:p>
            <w:pPr>
              <w:pStyle w:val="Normal"/>
              <w:tabs>
                <w:tab w:val="clear" w:pos="709"/>
                <w:tab w:val="left" w:pos="780" w:leader="none"/>
              </w:tabs>
              <w:ind w:hanging="736" w:left="851" w:right="-20"/>
              <w:rPr>
                <w:spacing w:val="2"/>
              </w:rPr>
            </w:pPr>
            <w:r>
              <w:rPr>
                <w:spacing w:val="2"/>
              </w:rPr>
              <w:t>1.3</w:t>
            </w:r>
          </w:p>
        </w:tc>
        <w:tc>
          <w:tcPr>
            <w:tcW w:w="9476" w:type="dxa"/>
            <w:tcBorders/>
          </w:tcPr>
          <w:p>
            <w:pPr>
              <w:pStyle w:val="Normal"/>
              <w:tabs>
                <w:tab w:val="clear" w:pos="709"/>
                <w:tab w:val="left" w:pos="780" w:leader="none"/>
              </w:tabs>
              <w:ind w:hanging="736" w:left="851" w:right="-20"/>
              <w:rPr>
                <w:spacing w:val="2"/>
              </w:rPr>
            </w:pPr>
            <w:r>
              <w:rPr>
                <w:spacing w:val="2"/>
              </w:rPr>
              <w:t>L’AO può ispezionare le barche in qualsiasi momento per assicurarsi che queste Regole vengano rispettate e la Persona di Supporto della barca dovrà collaborare per questa ispezione.</w:t>
            </w:r>
          </w:p>
        </w:tc>
      </w:tr>
      <w:tr>
        <w:trPr/>
        <w:tc>
          <w:tcPr>
            <w:tcW w:w="712" w:type="dxa"/>
            <w:tcBorders/>
          </w:tcPr>
          <w:p>
            <w:pPr>
              <w:pStyle w:val="Normal"/>
              <w:tabs>
                <w:tab w:val="clear" w:pos="709"/>
                <w:tab w:val="left" w:pos="780" w:leader="none"/>
              </w:tabs>
              <w:ind w:hanging="736" w:left="851" w:right="-20"/>
              <w:rPr>
                <w:spacing w:val="2"/>
              </w:rPr>
            </w:pPr>
            <w:r>
              <w:rPr>
                <w:spacing w:val="2"/>
              </w:rPr>
              <w:t>1.4</w:t>
            </w:r>
          </w:p>
        </w:tc>
        <w:tc>
          <w:tcPr>
            <w:tcW w:w="9476" w:type="dxa"/>
            <w:tcBorders/>
          </w:tcPr>
          <w:p>
            <w:pPr>
              <w:pStyle w:val="Normal"/>
              <w:tabs>
                <w:tab w:val="clear" w:pos="709"/>
                <w:tab w:val="left" w:pos="780" w:leader="none"/>
              </w:tabs>
              <w:ind w:hanging="736" w:left="851" w:right="-20"/>
              <w:rPr>
                <w:spacing w:val="2"/>
              </w:rPr>
            </w:pPr>
            <w:r>
              <w:rPr>
                <w:spacing w:val="2"/>
              </w:rPr>
              <w:t>Una presunta violazione di qualsiasi di queste Regole può essere riportata al CdP che potrà convocare un’udienza e agire in base alla RRS 62.</w:t>
            </w:r>
          </w:p>
        </w:tc>
      </w:tr>
      <w:tr>
        <w:trPr/>
        <w:tc>
          <w:tcPr>
            <w:tcW w:w="712" w:type="dxa"/>
            <w:tcBorders/>
          </w:tcPr>
          <w:p>
            <w:pPr>
              <w:pStyle w:val="Normal"/>
              <w:tabs>
                <w:tab w:val="clear" w:pos="709"/>
                <w:tab w:val="left" w:pos="780" w:leader="none"/>
              </w:tabs>
              <w:ind w:hanging="736" w:left="851" w:right="-20"/>
              <w:rPr>
                <w:spacing w:val="2"/>
              </w:rPr>
            </w:pPr>
            <w:r>
              <w:rPr>
                <w:spacing w:val="2"/>
              </w:rPr>
              <w:t>1.5</w:t>
            </w:r>
          </w:p>
        </w:tc>
        <w:tc>
          <w:tcPr>
            <w:tcW w:w="9476" w:type="dxa"/>
            <w:tcBorders/>
          </w:tcPr>
          <w:p>
            <w:pPr>
              <w:pStyle w:val="Normal"/>
              <w:tabs>
                <w:tab w:val="clear" w:pos="709"/>
                <w:tab w:val="left" w:pos="780" w:leader="none"/>
              </w:tabs>
              <w:ind w:hanging="736" w:left="851" w:right="-20"/>
              <w:rPr>
                <w:spacing w:val="2"/>
              </w:rPr>
            </w:pPr>
            <w:r>
              <w:rPr>
                <w:spacing w:val="2"/>
              </w:rPr>
              <w:t>L’AO può modificare le presenti Regole in qualsiasi momento. Qualsiasi modifica verrà pubblicata all'Albo Ufficiale per Comunicati.</w:t>
            </w:r>
          </w:p>
        </w:tc>
      </w:tr>
      <w:tr>
        <w:trPr/>
        <w:tc>
          <w:tcPr>
            <w:tcW w:w="712" w:type="dxa"/>
            <w:tcBorders/>
          </w:tcPr>
          <w:p>
            <w:pPr>
              <w:pStyle w:val="Normal"/>
              <w:tabs>
                <w:tab w:val="clear" w:pos="709"/>
                <w:tab w:val="left" w:pos="780" w:leader="none"/>
              </w:tabs>
              <w:ind w:hanging="736" w:left="851" w:right="-20"/>
              <w:rPr>
                <w:spacing w:val="2"/>
              </w:rPr>
            </w:pPr>
            <w:r>
              <w:rPr>
                <w:spacing w:val="2"/>
              </w:rPr>
              <w:t>1.6</w:t>
            </w:r>
          </w:p>
        </w:tc>
        <w:tc>
          <w:tcPr>
            <w:tcW w:w="9476" w:type="dxa"/>
            <w:tcBorders/>
          </w:tcPr>
          <w:p>
            <w:pPr>
              <w:pStyle w:val="Normal"/>
              <w:tabs>
                <w:tab w:val="clear" w:pos="709"/>
                <w:tab w:val="left" w:pos="780" w:leader="none"/>
              </w:tabs>
              <w:ind w:hanging="736" w:left="851" w:right="-20"/>
              <w:rPr>
                <w:spacing w:val="2"/>
              </w:rPr>
            </w:pPr>
            <w:r>
              <w:rPr>
                <w:spacing w:val="2"/>
              </w:rPr>
              <w:t>L’AO potrà, a sua discrezione, rifiutare di registrare BPS non ritenute idonee. In generale sono considerate idonee barche di lunghezza compresa fra 4,0 e 7,5 metri con sovrastrutture assenti o minimali.</w:t>
            </w:r>
          </w:p>
        </w:tc>
      </w:tr>
      <w:tr>
        <w:trPr/>
        <w:tc>
          <w:tcPr>
            <w:tcW w:w="712" w:type="dxa"/>
            <w:tcBorders/>
          </w:tcPr>
          <w:p>
            <w:pPr>
              <w:pStyle w:val="Normal"/>
              <w:tabs>
                <w:tab w:val="clear" w:pos="709"/>
                <w:tab w:val="left" w:pos="780" w:leader="none"/>
              </w:tabs>
              <w:ind w:hanging="736" w:left="851" w:right="-20"/>
              <w:rPr>
                <w:spacing w:val="2"/>
              </w:rPr>
            </w:pPr>
            <w:r>
              <w:rPr>
                <w:spacing w:val="2"/>
              </w:rPr>
              <w:t>1.7</w:t>
            </w:r>
          </w:p>
        </w:tc>
        <w:tc>
          <w:tcPr>
            <w:tcW w:w="9476" w:type="dxa"/>
            <w:tcBorders/>
          </w:tcPr>
          <w:p>
            <w:pPr>
              <w:pStyle w:val="Normal"/>
              <w:tabs>
                <w:tab w:val="clear" w:pos="709"/>
                <w:tab w:val="left" w:pos="780" w:leader="none"/>
              </w:tabs>
              <w:ind w:hanging="736" w:left="851" w:right="-20"/>
              <w:rPr>
                <w:spacing w:val="2"/>
              </w:rPr>
            </w:pPr>
            <w:r>
              <w:rPr>
                <w:spacing w:val="2"/>
              </w:rPr>
              <w:t>Le barche e le persone di supporto dovranno essere registrati presso la segreteria regate prima di scendere in acqua per la prima volta nel corso della manifestazione.</w:t>
            </w:r>
          </w:p>
          <w:p>
            <w:pPr>
              <w:pStyle w:val="Normal"/>
              <w:tabs>
                <w:tab w:val="clear" w:pos="709"/>
                <w:tab w:val="left" w:pos="780" w:leader="none"/>
              </w:tabs>
              <w:ind w:hanging="736" w:left="851" w:right="-20"/>
              <w:rPr>
                <w:spacing w:val="2"/>
              </w:rPr>
            </w:pPr>
            <w:r>
              <w:rPr>
                <w:spacing w:val="2"/>
              </w:rPr>
              <w:t>1.7.1. Ogni BPS dovrà essere assicurata per Danni contro terzi per una copertura minima di Euro 1.500.000,00 (o equivalente) per incidente;</w:t>
            </w:r>
          </w:p>
          <w:p>
            <w:pPr>
              <w:pStyle w:val="Normal"/>
              <w:tabs>
                <w:tab w:val="clear" w:pos="709"/>
                <w:tab w:val="left" w:pos="780" w:leader="none"/>
              </w:tabs>
              <w:ind w:hanging="736" w:left="851" w:right="-20"/>
              <w:rPr>
                <w:spacing w:val="2"/>
              </w:rPr>
            </w:pPr>
            <w:r>
              <w:rPr>
                <w:spacing w:val="2"/>
              </w:rPr>
              <w:t>1.7.2. Solo una Persona di Supporto che si sia accreditata può essere il driver</w:t>
            </w:r>
            <w:r>
              <w:rPr>
                <w:strike/>
                <w:color w:themeColor="accent6" w:themeTint="66" w:val="F09F9D"/>
                <w:spacing w:val="2"/>
              </w:rPr>
              <w:t xml:space="preserve"> </w:t>
            </w:r>
            <w:r>
              <w:rPr>
                <w:spacing w:val="2"/>
              </w:rPr>
              <w:t>designato;</w:t>
            </w:r>
          </w:p>
          <w:p>
            <w:pPr>
              <w:pStyle w:val="Normal"/>
              <w:tabs>
                <w:tab w:val="clear" w:pos="709"/>
                <w:tab w:val="left" w:pos="780" w:leader="none"/>
              </w:tabs>
              <w:ind w:hanging="736" w:left="851" w:right="-20"/>
              <w:rPr>
                <w:spacing w:val="2"/>
              </w:rPr>
            </w:pPr>
            <w:r>
              <w:rPr>
                <w:spacing w:val="2"/>
              </w:rPr>
              <w:t>1.7.3. La persona che registra la barca dovrà firmare per confermare che:</w:t>
            </w:r>
          </w:p>
          <w:p>
            <w:pPr>
              <w:pStyle w:val="Normal"/>
              <w:tabs>
                <w:tab w:val="clear" w:pos="709"/>
                <w:tab w:val="left" w:pos="780" w:leader="none"/>
              </w:tabs>
              <w:ind w:hanging="736" w:left="851" w:right="-20"/>
              <w:rPr>
                <w:spacing w:val="2"/>
              </w:rPr>
            </w:pPr>
            <w:r>
              <w:rPr>
                <w:spacing w:val="2"/>
              </w:rPr>
              <w:t>- è in possesso di una valida polizza di assicurazione da cui risulti la copertura della responsabilità civile per danni come richiesto al punto 1.7.1;</w:t>
            </w:r>
          </w:p>
          <w:p>
            <w:pPr>
              <w:pStyle w:val="Normal"/>
              <w:tabs>
                <w:tab w:val="clear" w:pos="709"/>
                <w:tab w:val="left" w:pos="780" w:leader="none"/>
              </w:tabs>
              <w:ind w:hanging="736" w:left="851" w:right="-20"/>
              <w:rPr>
                <w:spacing w:val="2"/>
              </w:rPr>
            </w:pPr>
            <w:r>
              <w:rPr>
                <w:spacing w:val="2"/>
              </w:rPr>
              <w:t>- che il driver</w:t>
            </w:r>
            <w:r>
              <w:rPr>
                <w:color w:themeColor="accent6" w:themeTint="66" w:val="F09F9D"/>
                <w:spacing w:val="2"/>
              </w:rPr>
              <w:t xml:space="preserve"> </w:t>
            </w:r>
            <w:r>
              <w:rPr>
                <w:spacing w:val="2"/>
              </w:rPr>
              <w:t>designato è in possesso di una regolare patente (ove ricorra) per la guida della BPS;</w:t>
            </w:r>
          </w:p>
          <w:p>
            <w:pPr>
              <w:pStyle w:val="Normal"/>
              <w:tabs>
                <w:tab w:val="clear" w:pos="709"/>
                <w:tab w:val="left" w:pos="780" w:leader="none"/>
              </w:tabs>
              <w:ind w:hanging="736" w:left="851" w:right="-20"/>
              <w:rPr>
                <w:spacing w:val="2"/>
              </w:rPr>
            </w:pPr>
            <w:r>
              <w:rPr>
                <w:spacing w:val="2"/>
              </w:rPr>
              <w:t>- che chiunque usi un apparato radio VHF a bordo sia in possesso di un’idonea Certificazione per l’uso di detto apparato, come previsto dalla Legge.</w:t>
            </w:r>
          </w:p>
          <w:p>
            <w:pPr>
              <w:pStyle w:val="Normal"/>
              <w:tabs>
                <w:tab w:val="clear" w:pos="709"/>
                <w:tab w:val="left" w:pos="780" w:leader="none"/>
              </w:tabs>
              <w:ind w:hanging="736" w:left="851" w:right="-20"/>
              <w:rPr>
                <w:spacing w:val="2"/>
              </w:rPr>
            </w:pPr>
            <w:r>
              <w:rPr>
                <w:spacing w:val="2"/>
              </w:rPr>
              <w:t>1.7.4 Se di Nazionalità Italiana, ogni persona di supporto dovrà essere tesserata FIV.</w:t>
            </w:r>
          </w:p>
        </w:tc>
      </w:tr>
      <w:tr>
        <w:trPr/>
        <w:tc>
          <w:tcPr>
            <w:tcW w:w="712" w:type="dxa"/>
            <w:tcBorders/>
          </w:tcPr>
          <w:p>
            <w:pPr>
              <w:pStyle w:val="Normal"/>
              <w:tabs>
                <w:tab w:val="clear" w:pos="709"/>
                <w:tab w:val="left" w:pos="780" w:leader="none"/>
              </w:tabs>
              <w:ind w:hanging="736" w:left="851" w:right="-20"/>
              <w:rPr>
                <w:spacing w:val="2"/>
              </w:rPr>
            </w:pPr>
            <w:r>
              <w:rPr>
                <w:spacing w:val="2"/>
              </w:rPr>
              <w:t>1.8</w:t>
            </w:r>
          </w:p>
        </w:tc>
        <w:tc>
          <w:tcPr>
            <w:tcW w:w="9476" w:type="dxa"/>
            <w:tcBorders/>
          </w:tcPr>
          <w:p>
            <w:pPr>
              <w:pStyle w:val="Normal"/>
              <w:tabs>
                <w:tab w:val="clear" w:pos="709"/>
                <w:tab w:val="left" w:pos="780" w:leader="none"/>
              </w:tabs>
              <w:ind w:hanging="736" w:left="851" w:right="-20"/>
              <w:rPr>
                <w:spacing w:val="2"/>
              </w:rPr>
            </w:pPr>
            <w:r>
              <w:rPr>
                <w:spacing w:val="2"/>
              </w:rPr>
              <w:t>Le BPS dovranno essere identificate con un contrassegno adeguato fornito dall’AO che dovrà essere esposto in maniera ben visibile sul mezzo.</w:t>
            </w:r>
          </w:p>
        </w:tc>
      </w:tr>
    </w:tbl>
    <w:p>
      <w:pPr>
        <w:pStyle w:val="Normal"/>
        <w:tabs>
          <w:tab w:val="clear" w:pos="709"/>
          <w:tab w:val="left" w:pos="780" w:leader="none"/>
        </w:tabs>
        <w:ind w:hanging="736" w:left="851" w:right="-20"/>
        <w:rPr>
          <w:b/>
          <w:spacing w:val="2"/>
        </w:rPr>
      </w:pPr>
      <w:r>
        <w:rPr>
          <w:b/>
          <w:spacing w:val="2"/>
        </w:rPr>
      </w:r>
    </w:p>
    <w:p>
      <w:pPr>
        <w:pStyle w:val="Normal"/>
        <w:tabs>
          <w:tab w:val="clear" w:pos="709"/>
          <w:tab w:val="left" w:pos="780" w:leader="none"/>
        </w:tabs>
        <w:ind w:hanging="736" w:left="851" w:right="-20"/>
        <w:rPr>
          <w:b/>
          <w:color w:val="365F91"/>
          <w:spacing w:val="2"/>
        </w:rPr>
      </w:pPr>
      <w:r>
        <w:rPr>
          <w:b/>
          <w:color w:val="365F91"/>
          <w:spacing w:val="2"/>
        </w:rPr>
        <w:t>B2 - REGOLE DA RISPETTARE NELLA LOCALITA’ DELLA MANIFESTAZIONE</w:t>
      </w:r>
    </w:p>
    <w:tbl>
      <w:tblPr>
        <w:tblW w:w="10188" w:type="dxa"/>
        <w:jc w:val="center"/>
        <w:tblInd w:w="0" w:type="dxa"/>
        <w:tblLayout w:type="fixed"/>
        <w:tblCellMar>
          <w:top w:w="0" w:type="dxa"/>
          <w:left w:w="108" w:type="dxa"/>
          <w:bottom w:w="0" w:type="dxa"/>
          <w:right w:w="108" w:type="dxa"/>
        </w:tblCellMar>
        <w:tblLook w:val="0000" w:noVBand="0" w:noHBand="0" w:lastColumn="0" w:firstColumn="0" w:lastRow="0" w:firstRow="0"/>
      </w:tblPr>
      <w:tblGrid>
        <w:gridCol w:w="712"/>
        <w:gridCol w:w="9476"/>
      </w:tblGrid>
      <w:tr>
        <w:trPr/>
        <w:tc>
          <w:tcPr>
            <w:tcW w:w="712" w:type="dxa"/>
            <w:tcBorders/>
          </w:tcPr>
          <w:p>
            <w:pPr>
              <w:pStyle w:val="Normal"/>
              <w:tabs>
                <w:tab w:val="clear" w:pos="709"/>
                <w:tab w:val="left" w:pos="780" w:leader="none"/>
              </w:tabs>
              <w:ind w:hanging="736" w:left="851" w:right="-20"/>
              <w:rPr>
                <w:spacing w:val="2"/>
              </w:rPr>
            </w:pPr>
            <w:r>
              <w:rPr>
                <w:spacing w:val="2"/>
              </w:rPr>
              <w:t>2.1</w:t>
            </w:r>
          </w:p>
        </w:tc>
        <w:tc>
          <w:tcPr>
            <w:tcW w:w="9476" w:type="dxa"/>
            <w:tcBorders/>
          </w:tcPr>
          <w:p>
            <w:pPr>
              <w:pStyle w:val="Normal"/>
              <w:tabs>
                <w:tab w:val="clear" w:pos="709"/>
                <w:tab w:val="left" w:pos="780" w:leader="none"/>
              </w:tabs>
              <w:ind w:hanging="736" w:left="851" w:right="-20"/>
              <w:rPr>
                <w:spacing w:val="2"/>
              </w:rPr>
            </w:pPr>
            <w:r>
              <w:rPr>
                <w:spacing w:val="2"/>
              </w:rPr>
              <w:t>Per essere messe in acqua le BPS dovranno utilizzare le aree allo scopo destinate</w:t>
            </w:r>
            <w:r>
              <w:rPr>
                <w:strike/>
                <w:color w:themeColor="accent6" w:themeTint="66" w:val="F09F9D"/>
                <w:spacing w:val="2"/>
              </w:rPr>
              <w:t xml:space="preserve">. </w:t>
            </w:r>
            <w:r>
              <w:rPr>
                <w:spacing w:val="2"/>
              </w:rPr>
              <w:t>Una volta messe in acqua i carrelli dovranno essere immediatamente portati nel luogo loro destinato secondo le istruzioni fornite dall’AO.</w:t>
            </w:r>
          </w:p>
        </w:tc>
      </w:tr>
      <w:tr>
        <w:trPr/>
        <w:tc>
          <w:tcPr>
            <w:tcW w:w="712" w:type="dxa"/>
            <w:tcBorders/>
          </w:tcPr>
          <w:p>
            <w:pPr>
              <w:pStyle w:val="Normal"/>
              <w:tabs>
                <w:tab w:val="clear" w:pos="709"/>
                <w:tab w:val="left" w:pos="780" w:leader="none"/>
              </w:tabs>
              <w:ind w:hanging="736" w:left="851" w:right="-20"/>
              <w:rPr>
                <w:spacing w:val="2"/>
              </w:rPr>
            </w:pPr>
            <w:r>
              <w:rPr>
                <w:spacing w:val="2"/>
              </w:rPr>
              <w:t>2.2</w:t>
            </w:r>
          </w:p>
        </w:tc>
        <w:tc>
          <w:tcPr>
            <w:tcW w:w="9476" w:type="dxa"/>
            <w:tcBorders/>
          </w:tcPr>
          <w:p>
            <w:pPr>
              <w:pStyle w:val="Normal"/>
              <w:tabs>
                <w:tab w:val="clear" w:pos="709"/>
                <w:tab w:val="left" w:pos="780" w:leader="none"/>
              </w:tabs>
              <w:ind w:hanging="736" w:left="851" w:right="-20"/>
              <w:rPr>
                <w:spacing w:val="2"/>
              </w:rPr>
            </w:pPr>
            <w:r>
              <w:rPr>
                <w:spacing w:val="2"/>
              </w:rPr>
              <w:t>Solo le BPS registrate potranno seguire la regata.</w:t>
            </w:r>
          </w:p>
        </w:tc>
      </w:tr>
      <w:tr>
        <w:trPr/>
        <w:tc>
          <w:tcPr>
            <w:tcW w:w="712" w:type="dxa"/>
            <w:tcBorders/>
          </w:tcPr>
          <w:p>
            <w:pPr>
              <w:pStyle w:val="Normal"/>
              <w:tabs>
                <w:tab w:val="clear" w:pos="709"/>
                <w:tab w:val="left" w:pos="780" w:leader="none"/>
              </w:tabs>
              <w:ind w:hanging="736" w:left="851" w:right="-20"/>
              <w:rPr>
                <w:spacing w:val="2"/>
              </w:rPr>
            </w:pPr>
            <w:r>
              <w:rPr>
                <w:spacing w:val="2"/>
              </w:rPr>
              <w:t>2.3</w:t>
            </w:r>
          </w:p>
        </w:tc>
        <w:tc>
          <w:tcPr>
            <w:tcW w:w="9476" w:type="dxa"/>
            <w:tcBorders/>
          </w:tcPr>
          <w:p>
            <w:pPr>
              <w:pStyle w:val="Normal"/>
              <w:tabs>
                <w:tab w:val="clear" w:pos="709"/>
                <w:tab w:val="left" w:pos="780" w:leader="none"/>
              </w:tabs>
              <w:ind w:hanging="736" w:left="851" w:right="-20"/>
              <w:rPr>
                <w:spacing w:val="2"/>
              </w:rPr>
            </w:pPr>
            <w:r>
              <w:rPr>
                <w:spacing w:val="2"/>
              </w:rPr>
              <w:t>Quando non utilizzate, le BPS dovranno essere ormeggiate in modo</w:t>
            </w:r>
            <w:r>
              <w:rPr>
                <w:strike/>
                <w:color w:themeColor="accent6" w:themeTint="66" w:val="F09F9D"/>
                <w:spacing w:val="2"/>
              </w:rPr>
              <w:t xml:space="preserve"> </w:t>
            </w:r>
            <w:r>
              <w:rPr>
                <w:spacing w:val="2"/>
              </w:rPr>
              <w:t>appropriato</w:t>
            </w:r>
            <w:r>
              <w:rPr>
                <w:color w:themeColor="accent6" w:themeTint="66" w:val="F09F9D"/>
                <w:spacing w:val="2"/>
              </w:rPr>
              <w:t xml:space="preserve"> </w:t>
            </w:r>
            <w:r>
              <w:rPr>
                <w:spacing w:val="2"/>
              </w:rPr>
              <w:t>nei posti loro assegnati, per l’intero periodo in cui queste regole si applicano.</w:t>
            </w:r>
          </w:p>
        </w:tc>
      </w:tr>
      <w:tr>
        <w:trPr/>
        <w:tc>
          <w:tcPr>
            <w:tcW w:w="712" w:type="dxa"/>
            <w:tcBorders/>
          </w:tcPr>
          <w:p>
            <w:pPr>
              <w:pStyle w:val="Normal"/>
              <w:tabs>
                <w:tab w:val="clear" w:pos="709"/>
                <w:tab w:val="left" w:pos="780" w:leader="none"/>
              </w:tabs>
              <w:ind w:hanging="736" w:left="851" w:right="-20"/>
              <w:rPr>
                <w:spacing w:val="2"/>
              </w:rPr>
            </w:pPr>
            <w:r>
              <w:rPr>
                <w:spacing w:val="2"/>
              </w:rPr>
              <w:t>2.4</w:t>
            </w:r>
          </w:p>
        </w:tc>
        <w:tc>
          <w:tcPr>
            <w:tcW w:w="9476" w:type="dxa"/>
            <w:tcBorders/>
          </w:tcPr>
          <w:p>
            <w:pPr>
              <w:pStyle w:val="Normal"/>
              <w:tabs>
                <w:tab w:val="clear" w:pos="709"/>
                <w:tab w:val="left" w:pos="780" w:leader="none"/>
              </w:tabs>
              <w:ind w:hanging="736" w:left="851" w:right="-20"/>
              <w:rPr>
                <w:spacing w:val="2"/>
              </w:rPr>
            </w:pPr>
            <w:r>
              <w:rPr>
                <w:spacing w:val="2"/>
              </w:rPr>
              <w:t>Le BPS dovranno utilizzare solo gli scivoli e gli spazi a loro destinati incluso l’ormeggio, la messa in acqua o il recupero, l’imbarco o lo sbarco di qualsiasi tipo di apparecchiatura.</w:t>
            </w:r>
          </w:p>
        </w:tc>
      </w:tr>
    </w:tbl>
    <w:p>
      <w:pPr>
        <w:pStyle w:val="Normal"/>
        <w:tabs>
          <w:tab w:val="clear" w:pos="709"/>
          <w:tab w:val="left" w:pos="780" w:leader="none"/>
        </w:tabs>
        <w:ind w:hanging="736" w:left="851" w:right="-20"/>
        <w:rPr>
          <w:spacing w:val="2"/>
        </w:rPr>
      </w:pPr>
      <w:r>
        <w:rPr>
          <w:spacing w:val="2"/>
        </w:rPr>
      </w:r>
    </w:p>
    <w:p>
      <w:pPr>
        <w:pStyle w:val="Normal"/>
        <w:tabs>
          <w:tab w:val="clear" w:pos="709"/>
          <w:tab w:val="left" w:pos="780" w:leader="none"/>
        </w:tabs>
        <w:ind w:hanging="736" w:left="851" w:right="-20"/>
        <w:rPr>
          <w:spacing w:val="2"/>
        </w:rPr>
      </w:pPr>
      <w:r>
        <w:rPr>
          <w:spacing w:val="2"/>
        </w:rPr>
      </w:r>
    </w:p>
    <w:p>
      <w:pPr>
        <w:pStyle w:val="Normal"/>
        <w:tabs>
          <w:tab w:val="clear" w:pos="709"/>
          <w:tab w:val="left" w:pos="780" w:leader="none"/>
        </w:tabs>
        <w:ind w:hanging="736" w:left="851" w:right="-20"/>
        <w:rPr>
          <w:b/>
          <w:color w:val="365F91"/>
          <w:spacing w:val="2"/>
        </w:rPr>
      </w:pPr>
      <w:r>
        <w:rPr>
          <w:b/>
          <w:color w:val="365F91"/>
          <w:spacing w:val="2"/>
        </w:rPr>
        <w:t xml:space="preserve">B3 - SICUREZZA </w:t>
      </w:r>
    </w:p>
    <w:tbl>
      <w:tblPr>
        <w:tblW w:w="10188" w:type="dxa"/>
        <w:jc w:val="center"/>
        <w:tblInd w:w="0" w:type="dxa"/>
        <w:tblLayout w:type="fixed"/>
        <w:tblCellMar>
          <w:top w:w="0" w:type="dxa"/>
          <w:left w:w="108" w:type="dxa"/>
          <w:bottom w:w="0" w:type="dxa"/>
          <w:right w:w="108" w:type="dxa"/>
        </w:tblCellMar>
        <w:tblLook w:val="0000" w:noVBand="0" w:noHBand="0" w:lastColumn="0" w:firstColumn="0" w:lastRow="0" w:firstRow="0"/>
      </w:tblPr>
      <w:tblGrid>
        <w:gridCol w:w="712"/>
        <w:gridCol w:w="9476"/>
      </w:tblGrid>
      <w:tr>
        <w:trPr/>
        <w:tc>
          <w:tcPr>
            <w:tcW w:w="712" w:type="dxa"/>
            <w:tcBorders/>
          </w:tcPr>
          <w:p>
            <w:pPr>
              <w:pStyle w:val="Normal"/>
              <w:tabs>
                <w:tab w:val="clear" w:pos="709"/>
                <w:tab w:val="left" w:pos="780" w:leader="none"/>
              </w:tabs>
              <w:ind w:hanging="736" w:left="851" w:right="-20"/>
              <w:rPr>
                <w:spacing w:val="2"/>
              </w:rPr>
            </w:pPr>
            <w:r>
              <w:rPr>
                <w:spacing w:val="2"/>
              </w:rPr>
              <w:t>3.1</w:t>
            </w:r>
          </w:p>
        </w:tc>
        <w:tc>
          <w:tcPr>
            <w:tcW w:w="9476" w:type="dxa"/>
            <w:tcBorders/>
          </w:tcPr>
          <w:p>
            <w:pPr>
              <w:pStyle w:val="Normal"/>
              <w:tabs>
                <w:tab w:val="clear" w:pos="709"/>
                <w:tab w:val="left" w:pos="780" w:leader="none"/>
              </w:tabs>
              <w:ind w:hanging="736" w:left="851" w:right="-20"/>
              <w:jc w:val="both"/>
              <w:rPr/>
            </w:pPr>
            <w:r>
              <w:rPr>
                <w:spacing w:val="2"/>
              </w:rPr>
              <w:t>Ogni accompagnatore o allenatore accreditato dovrà obbligatoriamente sottoscrivere l'apposito modulo FIV presso la SR dichiarando:</w:t>
            </w:r>
          </w:p>
          <w:p>
            <w:pPr>
              <w:pStyle w:val="ListParagraph"/>
              <w:numPr>
                <w:ilvl w:val="0"/>
                <w:numId w:val="2"/>
              </w:numPr>
              <w:tabs>
                <w:tab w:val="clear" w:pos="709"/>
                <w:tab w:val="left" w:pos="780" w:leader="none"/>
              </w:tabs>
              <w:ind w:hanging="360" w:left="835" w:right="-20"/>
              <w:rPr>
                <w:rFonts w:ascii="Liberation Serif" w:hAnsi="Liberation Serif"/>
                <w:lang w:val="it-IT"/>
              </w:rPr>
            </w:pPr>
            <w:r>
              <w:rPr>
                <w:rFonts w:cs="Arial" w:ascii="Liberation Serif" w:hAnsi="Liberation Serif"/>
                <w:spacing w:val="2"/>
                <w:lang w:val="it-IT"/>
              </w:rPr>
              <w:t>le caratteristiche del proprio mezzo di assistenza;</w:t>
            </w:r>
          </w:p>
          <w:p>
            <w:pPr>
              <w:pStyle w:val="ListParagraph"/>
              <w:numPr>
                <w:ilvl w:val="0"/>
                <w:numId w:val="2"/>
              </w:numPr>
              <w:tabs>
                <w:tab w:val="clear" w:pos="709"/>
                <w:tab w:val="left" w:pos="780" w:leader="none"/>
              </w:tabs>
              <w:ind w:hanging="360" w:left="835" w:right="-20"/>
              <w:rPr>
                <w:rFonts w:ascii="Liberation Serif" w:hAnsi="Liberation Serif"/>
                <w:lang w:val="it-IT"/>
              </w:rPr>
            </w:pPr>
            <w:r>
              <w:rPr>
                <w:rFonts w:cs="Arial" w:ascii="Liberation Serif" w:hAnsi="Liberation Serif"/>
                <w:spacing w:val="2"/>
                <w:lang w:val="it-IT"/>
              </w:rPr>
              <w:t>l'accettazione delle regole per il Personale di Supporto accreditati descritte in queste Regole;</w:t>
            </w:r>
          </w:p>
          <w:p>
            <w:pPr>
              <w:pStyle w:val="ListParagraph"/>
              <w:numPr>
                <w:ilvl w:val="0"/>
                <w:numId w:val="2"/>
              </w:numPr>
              <w:tabs>
                <w:tab w:val="clear" w:pos="709"/>
                <w:tab w:val="left" w:pos="780" w:leader="none"/>
              </w:tabs>
              <w:ind w:hanging="360" w:left="835" w:right="-20"/>
              <w:rPr>
                <w:rFonts w:ascii="Liberation Serif" w:hAnsi="Liberation Serif"/>
                <w:lang w:val="it-IT"/>
              </w:rPr>
            </w:pPr>
            <w:r>
              <w:rPr>
                <w:rFonts w:cs="Arial" w:ascii="Liberation Serif" w:hAnsi="Liberation Serif"/>
                <w:spacing w:val="2"/>
                <w:lang w:val="it-IT"/>
              </w:rPr>
              <w:t>i nominativi e i numeri velici dei concorrenti accompagnati.</w:t>
            </w:r>
          </w:p>
        </w:tc>
      </w:tr>
      <w:tr>
        <w:trPr/>
        <w:tc>
          <w:tcPr>
            <w:tcW w:w="712" w:type="dxa"/>
            <w:tcBorders/>
          </w:tcPr>
          <w:p>
            <w:pPr>
              <w:pStyle w:val="Normal"/>
              <w:tabs>
                <w:tab w:val="clear" w:pos="709"/>
                <w:tab w:val="left" w:pos="780" w:leader="none"/>
              </w:tabs>
              <w:ind w:hanging="736" w:left="851" w:right="-20"/>
              <w:rPr>
                <w:spacing w:val="2"/>
              </w:rPr>
            </w:pPr>
            <w:r>
              <w:rPr>
                <w:spacing w:val="2"/>
              </w:rPr>
              <w:t>3.2</w:t>
            </w:r>
          </w:p>
        </w:tc>
        <w:tc>
          <w:tcPr>
            <w:tcW w:w="9476" w:type="dxa"/>
            <w:tcBorders/>
          </w:tcPr>
          <w:p>
            <w:pPr>
              <w:pStyle w:val="Normal"/>
              <w:tabs>
                <w:tab w:val="clear" w:pos="709"/>
                <w:tab w:val="left" w:pos="780" w:leader="none"/>
              </w:tabs>
              <w:ind w:hanging="736" w:left="851" w:right="-20"/>
              <w:jc w:val="both"/>
              <w:rPr/>
            </w:pPr>
            <w:r>
              <w:rPr>
                <w:spacing w:val="2"/>
              </w:rPr>
              <w:t>Le BPS dovranno avere a bordo, oltre ai dispositivi previsti dalla Legge per il tipo di navigazione effettuata, le seguenti dotazioni:</w:t>
            </w:r>
          </w:p>
          <w:p>
            <w:pPr>
              <w:pStyle w:val="ListParagraph"/>
              <w:numPr>
                <w:ilvl w:val="0"/>
                <w:numId w:val="1"/>
              </w:numPr>
              <w:tabs>
                <w:tab w:val="clear" w:pos="709"/>
                <w:tab w:val="left" w:pos="780" w:leader="none"/>
              </w:tabs>
              <w:ind w:hanging="360" w:left="835" w:right="-20"/>
              <w:jc w:val="both"/>
              <w:rPr>
                <w:rFonts w:ascii="Liberation Serif" w:hAnsi="Liberation Serif"/>
                <w:lang w:val="it-IT"/>
              </w:rPr>
            </w:pPr>
            <w:r>
              <w:rPr>
                <w:rFonts w:cs="Arial" w:ascii="Liberation Serif" w:hAnsi="Liberation Serif"/>
                <w:spacing w:val="2"/>
                <w:lang w:val="it-IT"/>
              </w:rPr>
              <w:t>radio VHF;</w:t>
            </w:r>
          </w:p>
          <w:p>
            <w:pPr>
              <w:pStyle w:val="ListParagraph"/>
              <w:numPr>
                <w:ilvl w:val="0"/>
                <w:numId w:val="1"/>
              </w:numPr>
              <w:tabs>
                <w:tab w:val="clear" w:pos="709"/>
                <w:tab w:val="left" w:pos="780" w:leader="none"/>
              </w:tabs>
              <w:ind w:hanging="360" w:left="835" w:right="-20"/>
              <w:jc w:val="both"/>
              <w:rPr>
                <w:rFonts w:ascii="Liberation Serif" w:hAnsi="Liberation Serif"/>
                <w:lang w:val="it-IT"/>
              </w:rPr>
            </w:pPr>
            <w:r>
              <w:rPr>
                <w:rFonts w:cs="Arial" w:ascii="Liberation Serif" w:hAnsi="Liberation Serif"/>
                <w:spacing w:val="2"/>
                <w:lang w:val="it-IT"/>
              </w:rPr>
              <w:t>cime di traino (lunghezza minima 15 metri, diametro minimo 10 mm.</w:t>
            </w:r>
          </w:p>
        </w:tc>
      </w:tr>
      <w:tr>
        <w:trPr/>
        <w:tc>
          <w:tcPr>
            <w:tcW w:w="712" w:type="dxa"/>
            <w:tcBorders/>
          </w:tcPr>
          <w:p>
            <w:pPr>
              <w:pStyle w:val="Normal"/>
              <w:tabs>
                <w:tab w:val="clear" w:pos="709"/>
                <w:tab w:val="left" w:pos="780" w:leader="none"/>
              </w:tabs>
              <w:ind w:hanging="736" w:left="851" w:right="-20"/>
              <w:rPr>
                <w:spacing w:val="2"/>
              </w:rPr>
            </w:pPr>
            <w:r>
              <w:rPr>
                <w:spacing w:val="2"/>
              </w:rPr>
              <w:t>3.3</w:t>
            </w:r>
          </w:p>
        </w:tc>
        <w:tc>
          <w:tcPr>
            <w:tcW w:w="9476" w:type="dxa"/>
            <w:tcBorders/>
          </w:tcPr>
          <w:p>
            <w:pPr>
              <w:pStyle w:val="Normal"/>
              <w:tabs>
                <w:tab w:val="clear" w:pos="709"/>
                <w:tab w:val="left" w:pos="780" w:leader="none"/>
              </w:tabs>
              <w:ind w:hanging="736" w:left="851" w:right="-20"/>
              <w:jc w:val="both"/>
              <w:rPr>
                <w:spacing w:val="2"/>
              </w:rPr>
            </w:pPr>
            <w:r>
              <w:rPr>
                <w:spacing w:val="2"/>
              </w:rPr>
              <w:t xml:space="preserve">Dispositivo personale di galleggiamento (PFD) per tutti i passeggeri della BPS e per il conducente </w:t>
            </w:r>
            <w:r>
              <w:rPr>
                <w:spacing w:val="2"/>
                <w:u w:val="single"/>
              </w:rPr>
              <w:t>sempre indossati durante la navigazione</w:t>
            </w:r>
            <w:r>
              <w:rPr>
                <w:spacing w:val="2"/>
              </w:rPr>
              <w:t>;</w:t>
            </w:r>
          </w:p>
        </w:tc>
      </w:tr>
      <w:tr>
        <w:trPr/>
        <w:tc>
          <w:tcPr>
            <w:tcW w:w="712" w:type="dxa"/>
            <w:tcBorders/>
          </w:tcPr>
          <w:p>
            <w:pPr>
              <w:pStyle w:val="Normal"/>
              <w:tabs>
                <w:tab w:val="clear" w:pos="709"/>
                <w:tab w:val="left" w:pos="780" w:leader="none"/>
              </w:tabs>
              <w:ind w:hanging="736" w:left="851" w:right="-20"/>
              <w:rPr/>
            </w:pPr>
            <w:r>
              <w:rPr>
                <w:spacing w:val="2"/>
              </w:rPr>
              <w:t>3.4</w:t>
            </w:r>
          </w:p>
        </w:tc>
        <w:tc>
          <w:tcPr>
            <w:tcW w:w="9476" w:type="dxa"/>
            <w:tcBorders/>
          </w:tcPr>
          <w:p>
            <w:pPr>
              <w:pStyle w:val="Normal"/>
              <w:tabs>
                <w:tab w:val="clear" w:pos="709"/>
                <w:tab w:val="left" w:pos="780" w:leader="none"/>
              </w:tabs>
              <w:ind w:hanging="736" w:left="851" w:right="-20"/>
              <w:jc w:val="both"/>
              <w:rPr/>
            </w:pPr>
            <w:r>
              <w:rPr>
                <w:b/>
                <w:spacing w:val="2"/>
              </w:rPr>
              <w:t>[SP]</w:t>
            </w:r>
            <w:r>
              <w:rPr>
                <w:spacing w:val="2"/>
              </w:rPr>
              <w:t xml:space="preserve"> Quando il motore è in funzione, il Kill Cord (dispositivo di spegnimento del motore) dovrà essere sempre connesso al driver. </w:t>
            </w:r>
            <w:r>
              <w:rPr>
                <w:strike/>
                <w:color w:themeColor="accent6" w:themeTint="66" w:val="F09F9D"/>
                <w:spacing w:val="2"/>
              </w:rPr>
              <w:t>.</w:t>
            </w:r>
          </w:p>
        </w:tc>
      </w:tr>
      <w:tr>
        <w:trPr/>
        <w:tc>
          <w:tcPr>
            <w:tcW w:w="712" w:type="dxa"/>
            <w:tcBorders/>
          </w:tcPr>
          <w:p>
            <w:pPr>
              <w:pStyle w:val="Normal"/>
              <w:tabs>
                <w:tab w:val="clear" w:pos="709"/>
                <w:tab w:val="left" w:pos="780" w:leader="none"/>
              </w:tabs>
              <w:ind w:hanging="736" w:left="851" w:right="-20"/>
              <w:rPr>
                <w:spacing w:val="2"/>
              </w:rPr>
            </w:pPr>
            <w:r>
              <w:rPr>
                <w:spacing w:val="2"/>
              </w:rPr>
              <w:t>3.5</w:t>
            </w:r>
          </w:p>
        </w:tc>
        <w:tc>
          <w:tcPr>
            <w:tcW w:w="9476" w:type="dxa"/>
            <w:tcBorders/>
          </w:tcPr>
          <w:p>
            <w:pPr>
              <w:pStyle w:val="Normal"/>
              <w:tabs>
                <w:tab w:val="clear" w:pos="709"/>
                <w:tab w:val="left" w:pos="780" w:leader="none"/>
              </w:tabs>
              <w:ind w:hanging="736" w:left="851" w:right="-20"/>
              <w:jc w:val="both"/>
              <w:rPr>
                <w:spacing w:val="2"/>
              </w:rPr>
            </w:pPr>
            <w:r>
              <w:rPr>
                <w:spacing w:val="2"/>
              </w:rPr>
              <w:t>Il Personale di Supporto dovrà sempre eseguire le richieste degli Ufficiali di Regata. In particolare quelle riguardanti operazioni di salvataggio;</w:t>
            </w:r>
          </w:p>
        </w:tc>
      </w:tr>
      <w:tr>
        <w:trPr/>
        <w:tc>
          <w:tcPr>
            <w:tcW w:w="712" w:type="dxa"/>
            <w:tcBorders/>
          </w:tcPr>
          <w:p>
            <w:pPr>
              <w:pStyle w:val="Normal"/>
              <w:tabs>
                <w:tab w:val="clear" w:pos="709"/>
                <w:tab w:val="left" w:pos="780" w:leader="none"/>
              </w:tabs>
              <w:ind w:hanging="736" w:left="851" w:right="-20"/>
              <w:rPr>
                <w:spacing w:val="2"/>
              </w:rPr>
            </w:pPr>
            <w:r>
              <w:rPr>
                <w:spacing w:val="2"/>
              </w:rPr>
              <w:t>3.6</w:t>
            </w:r>
          </w:p>
        </w:tc>
        <w:tc>
          <w:tcPr>
            <w:tcW w:w="9476" w:type="dxa"/>
            <w:tcBorders/>
          </w:tcPr>
          <w:p>
            <w:pPr>
              <w:pStyle w:val="Normal"/>
              <w:tabs>
                <w:tab w:val="clear" w:pos="709"/>
                <w:tab w:val="left" w:pos="780" w:leader="none"/>
              </w:tabs>
              <w:ind w:hanging="736" w:left="851" w:right="-20"/>
              <w:jc w:val="both"/>
              <w:rPr>
                <w:spacing w:val="2"/>
              </w:rPr>
            </w:pPr>
            <w:r>
              <w:rPr>
                <w:spacing w:val="2"/>
              </w:rPr>
              <w:t>Le BPS dovranno inoltre adeguarsi a tutte le prescrizioni dell’Autorità Marittima competente per la sede della manifestazione.</w:t>
            </w:r>
          </w:p>
        </w:tc>
      </w:tr>
    </w:tbl>
    <w:p>
      <w:pPr>
        <w:pStyle w:val="Normal"/>
        <w:tabs>
          <w:tab w:val="clear" w:pos="709"/>
          <w:tab w:val="left" w:pos="780" w:leader="none"/>
        </w:tabs>
        <w:ind w:hanging="736" w:left="851" w:right="-20"/>
        <w:rPr>
          <w:spacing w:val="2"/>
        </w:rPr>
      </w:pPr>
      <w:r>
        <w:rPr>
          <w:spacing w:val="2"/>
        </w:rPr>
      </w:r>
    </w:p>
    <w:p>
      <w:pPr>
        <w:pStyle w:val="Normal"/>
        <w:tabs>
          <w:tab w:val="clear" w:pos="709"/>
          <w:tab w:val="left" w:pos="780" w:leader="none"/>
        </w:tabs>
        <w:ind w:hanging="736" w:left="851" w:right="-20"/>
        <w:rPr>
          <w:b/>
          <w:color w:val="365F91"/>
          <w:spacing w:val="2"/>
        </w:rPr>
      </w:pPr>
      <w:r>
        <w:rPr>
          <w:b/>
          <w:color w:val="365F91"/>
          <w:spacing w:val="2"/>
        </w:rPr>
        <w:t xml:space="preserve">B4 - LIMITAZIONI GENERALI </w:t>
      </w:r>
    </w:p>
    <w:tbl>
      <w:tblPr>
        <w:tblW w:w="10188" w:type="dxa"/>
        <w:jc w:val="center"/>
        <w:tblInd w:w="0" w:type="dxa"/>
        <w:tblLayout w:type="fixed"/>
        <w:tblCellMar>
          <w:top w:w="0" w:type="dxa"/>
          <w:left w:w="108" w:type="dxa"/>
          <w:bottom w:w="0" w:type="dxa"/>
          <w:right w:w="108" w:type="dxa"/>
        </w:tblCellMar>
        <w:tblLook w:val="0000" w:noVBand="0" w:noHBand="0" w:lastColumn="0" w:firstColumn="0" w:lastRow="0" w:firstRow="0"/>
      </w:tblPr>
      <w:tblGrid>
        <w:gridCol w:w="712"/>
        <w:gridCol w:w="9476"/>
      </w:tblGrid>
      <w:tr>
        <w:trPr/>
        <w:tc>
          <w:tcPr>
            <w:tcW w:w="712" w:type="dxa"/>
            <w:tcBorders/>
          </w:tcPr>
          <w:p>
            <w:pPr>
              <w:pStyle w:val="Normal"/>
              <w:tabs>
                <w:tab w:val="clear" w:pos="709"/>
                <w:tab w:val="left" w:pos="780" w:leader="none"/>
              </w:tabs>
              <w:ind w:hanging="736" w:left="851" w:right="-20"/>
              <w:rPr>
                <w:spacing w:val="2"/>
              </w:rPr>
            </w:pPr>
            <w:r>
              <w:rPr>
                <w:spacing w:val="2"/>
              </w:rPr>
              <w:t>4.1</w:t>
            </w:r>
          </w:p>
        </w:tc>
        <w:tc>
          <w:tcPr>
            <w:tcW w:w="9476" w:type="dxa"/>
            <w:tcBorders/>
          </w:tcPr>
          <w:p>
            <w:pPr>
              <w:pStyle w:val="Normal"/>
              <w:tabs>
                <w:tab w:val="clear" w:pos="709"/>
                <w:tab w:val="left" w:pos="780" w:leader="none"/>
              </w:tabs>
              <w:ind w:hanging="736" w:left="851" w:right="-20"/>
              <w:jc w:val="both"/>
              <w:rPr>
                <w:spacing w:val="2"/>
              </w:rPr>
            </w:pPr>
            <w:r>
              <w:rPr>
                <w:spacing w:val="2"/>
              </w:rPr>
              <w:t>I driver registrati di ogni BPS saranno ritenuti responsabili del controllo della barca in ogni momento e saranno inoltre ritenuti responsabili per qualunque comportamento inappropriato, azioni pericolose e, in genere, di qualsiasi azione che possa compromettere la sicurezza o l’immagine della manifestazione.</w:t>
            </w:r>
          </w:p>
        </w:tc>
      </w:tr>
      <w:tr>
        <w:trPr/>
        <w:tc>
          <w:tcPr>
            <w:tcW w:w="712" w:type="dxa"/>
            <w:tcBorders/>
          </w:tcPr>
          <w:p>
            <w:pPr>
              <w:pStyle w:val="Normal"/>
              <w:tabs>
                <w:tab w:val="clear" w:pos="709"/>
                <w:tab w:val="left" w:pos="780" w:leader="none"/>
              </w:tabs>
              <w:ind w:hanging="736" w:left="851" w:right="-20"/>
              <w:rPr>
                <w:spacing w:val="2"/>
              </w:rPr>
            </w:pPr>
            <w:r>
              <w:rPr>
                <w:spacing w:val="2"/>
              </w:rPr>
              <w:t>4.2</w:t>
            </w:r>
          </w:p>
        </w:tc>
        <w:tc>
          <w:tcPr>
            <w:tcW w:w="9476" w:type="dxa"/>
            <w:tcBorders/>
          </w:tcPr>
          <w:p>
            <w:pPr>
              <w:pStyle w:val="Normal"/>
              <w:tabs>
                <w:tab w:val="clear" w:pos="709"/>
                <w:tab w:val="left" w:pos="780" w:leader="none"/>
              </w:tabs>
              <w:ind w:hanging="736" w:left="851" w:right="-20"/>
              <w:jc w:val="both"/>
              <w:rPr>
                <w:spacing w:val="2"/>
              </w:rPr>
            </w:pPr>
            <w:r>
              <w:rPr>
                <w:spacing w:val="2"/>
              </w:rPr>
              <w:t>Le BPS non dovranno lasciare nessun dispositivo, parte di apparecchiatura, boe, segnali, correntometri o altri dispositivi simili, permanentemente in acqua. L’uso temporaneo di oggetti galleggianti è consentito solo per effettuare misurazioni. Questi oggetti dovranno essere rimossi non appena la misurazione è stata effettuata.</w:t>
            </w:r>
          </w:p>
        </w:tc>
      </w:tr>
      <w:tr>
        <w:trPr/>
        <w:tc>
          <w:tcPr>
            <w:tcW w:w="712" w:type="dxa"/>
            <w:tcBorders/>
          </w:tcPr>
          <w:p>
            <w:pPr>
              <w:pStyle w:val="Normal"/>
              <w:tabs>
                <w:tab w:val="clear" w:pos="709"/>
                <w:tab w:val="left" w:pos="780" w:leader="none"/>
              </w:tabs>
              <w:ind w:hanging="736" w:left="851" w:right="-20"/>
              <w:rPr>
                <w:spacing w:val="2"/>
              </w:rPr>
            </w:pPr>
            <w:r>
              <w:rPr>
                <w:spacing w:val="2"/>
              </w:rPr>
              <w:t>4.3</w:t>
            </w:r>
          </w:p>
        </w:tc>
        <w:tc>
          <w:tcPr>
            <w:tcW w:w="9476" w:type="dxa"/>
            <w:tcBorders/>
          </w:tcPr>
          <w:p>
            <w:pPr>
              <w:pStyle w:val="Normal"/>
              <w:tabs>
                <w:tab w:val="clear" w:pos="709"/>
                <w:tab w:val="left" w:pos="780" w:leader="none"/>
              </w:tabs>
              <w:ind w:hanging="736" w:left="851" w:right="-20"/>
              <w:rPr>
                <w:spacing w:val="2"/>
              </w:rPr>
            </w:pPr>
            <w:r>
              <w:rPr>
                <w:spacing w:val="2"/>
              </w:rPr>
              <w:t>Le BPS dovranno porre particolare attenzione per minimizzare la loro onda di scia quando transitano nell’area di regata.</w:t>
            </w:r>
          </w:p>
        </w:tc>
      </w:tr>
    </w:tbl>
    <w:p>
      <w:pPr>
        <w:pStyle w:val="Normal"/>
        <w:tabs>
          <w:tab w:val="clear" w:pos="709"/>
          <w:tab w:val="left" w:pos="780" w:leader="none"/>
        </w:tabs>
        <w:ind w:hanging="736" w:left="851" w:right="-20"/>
        <w:rPr>
          <w:spacing w:val="2"/>
        </w:rPr>
      </w:pPr>
      <w:r>
        <w:rPr>
          <w:spacing w:val="2"/>
        </w:rPr>
      </w:r>
    </w:p>
    <w:p>
      <w:pPr>
        <w:pStyle w:val="Normal"/>
        <w:tabs>
          <w:tab w:val="clear" w:pos="709"/>
          <w:tab w:val="left" w:pos="780" w:leader="none"/>
        </w:tabs>
        <w:ind w:hanging="736" w:left="851" w:right="-20"/>
        <w:rPr>
          <w:b/>
          <w:color w:val="FF0000"/>
          <w:spacing w:val="2"/>
        </w:rPr>
      </w:pPr>
      <w:r>
        <w:rPr>
          <w:b/>
          <w:color w:val="365F91"/>
          <w:spacing w:val="2"/>
        </w:rPr>
        <w:t xml:space="preserve">B5 - ZONA DI RISPETTO </w:t>
      </w:r>
    </w:p>
    <w:tbl>
      <w:tblPr>
        <w:tblW w:w="10188" w:type="dxa"/>
        <w:jc w:val="center"/>
        <w:tblInd w:w="0" w:type="dxa"/>
        <w:tblLayout w:type="fixed"/>
        <w:tblCellMar>
          <w:top w:w="0" w:type="dxa"/>
          <w:left w:w="108" w:type="dxa"/>
          <w:bottom w:w="0" w:type="dxa"/>
          <w:right w:w="108" w:type="dxa"/>
        </w:tblCellMar>
        <w:tblLook w:val="0000" w:noVBand="0" w:noHBand="0" w:lastColumn="0" w:firstColumn="0" w:lastRow="0" w:firstRow="0"/>
      </w:tblPr>
      <w:tblGrid>
        <w:gridCol w:w="712"/>
        <w:gridCol w:w="9476"/>
      </w:tblGrid>
      <w:tr>
        <w:trPr/>
        <w:tc>
          <w:tcPr>
            <w:tcW w:w="712" w:type="dxa"/>
            <w:tcBorders/>
          </w:tcPr>
          <w:p>
            <w:pPr>
              <w:pStyle w:val="Normal"/>
              <w:tabs>
                <w:tab w:val="clear" w:pos="709"/>
                <w:tab w:val="left" w:pos="780" w:leader="none"/>
              </w:tabs>
              <w:ind w:hanging="736" w:left="851" w:right="-20"/>
              <w:rPr>
                <w:spacing w:val="2"/>
              </w:rPr>
            </w:pPr>
            <w:r>
              <w:rPr>
                <w:spacing w:val="2"/>
              </w:rPr>
              <w:t>5.1</w:t>
            </w:r>
          </w:p>
        </w:tc>
        <w:tc>
          <w:tcPr>
            <w:tcW w:w="9476" w:type="dxa"/>
            <w:tcBorders/>
          </w:tcPr>
          <w:p>
            <w:pPr>
              <w:pStyle w:val="Normal"/>
              <w:tabs>
                <w:tab w:val="clear" w:pos="709"/>
                <w:tab w:val="left" w:pos="780" w:leader="none"/>
              </w:tabs>
              <w:ind w:hanging="736" w:left="851" w:right="-20"/>
              <w:rPr>
                <w:spacing w:val="2"/>
              </w:rPr>
            </w:pPr>
            <w:r>
              <w:rPr>
                <w:spacing w:val="2"/>
              </w:rPr>
              <w:t>Le BPS non dovranno mai trovarsi:</w:t>
            </w:r>
          </w:p>
          <w:p>
            <w:pPr>
              <w:pStyle w:val="Normal"/>
              <w:tabs>
                <w:tab w:val="clear" w:pos="709"/>
                <w:tab w:val="left" w:pos="780" w:leader="none"/>
              </w:tabs>
              <w:ind w:hanging="736" w:left="851" w:right="-20"/>
              <w:rPr>
                <w:spacing w:val="2"/>
              </w:rPr>
            </w:pPr>
            <w:r>
              <w:rPr>
                <w:spacing w:val="2"/>
              </w:rPr>
              <w:t>i.</w:t>
              <w:tab/>
              <w:t>a meno di 100 metri da ogni imbarcazione in regata;</w:t>
            </w:r>
          </w:p>
          <w:p>
            <w:pPr>
              <w:pStyle w:val="Normal"/>
              <w:tabs>
                <w:tab w:val="clear" w:pos="709"/>
                <w:tab w:val="left" w:pos="780" w:leader="none"/>
              </w:tabs>
              <w:ind w:hanging="736" w:left="851" w:right="-20"/>
              <w:rPr>
                <w:spacing w:val="2"/>
              </w:rPr>
            </w:pPr>
            <w:r>
              <w:rPr>
                <w:spacing w:val="2"/>
              </w:rPr>
              <w:t>ii.</w:t>
              <w:tab/>
              <w:t>entro 100 metri dalla linea di partenza e i suoi prolungamenti a partire dal segnale preparatorio e finché tutte le imbarcazioni non abbiano lasciato l’area di partenza o il CdR non abbia segnalato, un richiamo generale o un annullamento;</w:t>
            </w:r>
          </w:p>
          <w:p>
            <w:pPr>
              <w:pStyle w:val="Normal"/>
              <w:tabs>
                <w:tab w:val="clear" w:pos="709"/>
                <w:tab w:val="left" w:pos="780" w:leader="none"/>
              </w:tabs>
              <w:ind w:hanging="736" w:left="851" w:right="-20"/>
              <w:rPr>
                <w:spacing w:val="2"/>
              </w:rPr>
            </w:pPr>
            <w:r>
              <w:rPr>
                <w:spacing w:val="2"/>
              </w:rPr>
              <w:t>iii.</w:t>
              <w:tab/>
              <w:t>fra qualsiasi imbarcazione in regata e la successiva boa di percorso;</w:t>
            </w:r>
          </w:p>
          <w:p>
            <w:pPr>
              <w:pStyle w:val="Normal"/>
              <w:tabs>
                <w:tab w:val="clear" w:pos="709"/>
                <w:tab w:val="left" w:pos="780" w:leader="none"/>
              </w:tabs>
              <w:ind w:hanging="736" w:left="851" w:right="-20"/>
              <w:rPr>
                <w:spacing w:val="2"/>
              </w:rPr>
            </w:pPr>
            <w:r>
              <w:rPr>
                <w:spacing w:val="2"/>
              </w:rPr>
              <w:t>iv.</w:t>
              <w:tab/>
              <w:t>fra il bastone di percorso interno e quello esterno quando le imbarcazioni stanno regatando su entrambi i percorsi;</w:t>
            </w:r>
          </w:p>
          <w:p>
            <w:pPr>
              <w:pStyle w:val="Normal"/>
              <w:tabs>
                <w:tab w:val="clear" w:pos="709"/>
                <w:tab w:val="left" w:pos="780" w:leader="none"/>
              </w:tabs>
              <w:ind w:hanging="736" w:left="851" w:right="-20"/>
              <w:rPr>
                <w:spacing w:val="2"/>
              </w:rPr>
            </w:pPr>
            <w:r>
              <w:rPr>
                <w:spacing w:val="2"/>
              </w:rPr>
              <w:t>v.</w:t>
              <w:tab/>
              <w:t>entro 100 metri da qualsiasi boa del percorso quando le imbarcazioni in regata siano in prossimità di quella boa;</w:t>
            </w:r>
          </w:p>
          <w:p>
            <w:pPr>
              <w:pStyle w:val="Normal"/>
              <w:tabs>
                <w:tab w:val="clear" w:pos="709"/>
                <w:tab w:val="left" w:pos="780" w:leader="none"/>
              </w:tabs>
              <w:ind w:hanging="736" w:left="851" w:right="-20"/>
              <w:rPr>
                <w:spacing w:val="2"/>
              </w:rPr>
            </w:pPr>
            <w:r>
              <w:rPr>
                <w:spacing w:val="2"/>
              </w:rPr>
              <w:t>vi.</w:t>
              <w:tab/>
              <w:t>entro 100 metri dalle boe che delimitano la linea d’arrivo quando le imbarcazioni in regata si avvicinano alla linea per arrivare;</w:t>
            </w:r>
          </w:p>
          <w:p>
            <w:pPr>
              <w:pStyle w:val="Normal"/>
              <w:tabs>
                <w:tab w:val="clear" w:pos="709"/>
                <w:tab w:val="left" w:pos="780" w:leader="none"/>
              </w:tabs>
              <w:ind w:hanging="736" w:left="851" w:right="-20"/>
              <w:rPr>
                <w:spacing w:val="2"/>
              </w:rPr>
            </w:pPr>
            <w:r>
              <w:rPr>
                <w:spacing w:val="2"/>
              </w:rPr>
              <w:t>vii.</w:t>
              <w:tab/>
              <w:t>Altre limitazioni particolari applicabili nella località della manifestazione ed espressamente richiamate dalla AO.</w:t>
            </w:r>
          </w:p>
        </w:tc>
      </w:tr>
      <w:tr>
        <w:trPr/>
        <w:tc>
          <w:tcPr>
            <w:tcW w:w="712" w:type="dxa"/>
            <w:tcBorders/>
          </w:tcPr>
          <w:p>
            <w:pPr>
              <w:pStyle w:val="Normal"/>
              <w:tabs>
                <w:tab w:val="clear" w:pos="709"/>
                <w:tab w:val="left" w:pos="780" w:leader="none"/>
              </w:tabs>
              <w:ind w:hanging="736" w:left="851" w:right="-20"/>
              <w:rPr>
                <w:spacing w:val="2"/>
              </w:rPr>
            </w:pPr>
            <w:r>
              <w:rPr>
                <w:spacing w:val="2"/>
              </w:rPr>
              <w:t>5.2</w:t>
            </w:r>
          </w:p>
        </w:tc>
        <w:tc>
          <w:tcPr>
            <w:tcW w:w="9476" w:type="dxa"/>
            <w:tcBorders/>
          </w:tcPr>
          <w:p>
            <w:pPr>
              <w:pStyle w:val="Normal"/>
              <w:tabs>
                <w:tab w:val="clear" w:pos="709"/>
                <w:tab w:val="left" w:pos="164" w:leader="none"/>
              </w:tabs>
              <w:ind w:hanging="736" w:left="851" w:right="-20"/>
              <w:rPr>
                <w:spacing w:val="2"/>
              </w:rPr>
            </w:pPr>
            <w:r>
              <w:rPr>
                <w:spacing w:val="2"/>
              </w:rPr>
              <w:t>In aggiunta, le BPS che dovessero procedere ad una velocità superiore ai 5 nodi, dovranno tenersi ad almeno 150 metri da qualsiasi imbarcazione in regata.</w:t>
            </w:r>
          </w:p>
        </w:tc>
      </w:tr>
    </w:tbl>
    <w:p>
      <w:pPr>
        <w:pStyle w:val="Normal"/>
        <w:tabs>
          <w:tab w:val="clear" w:pos="709"/>
          <w:tab w:val="left" w:pos="780" w:leader="none"/>
        </w:tabs>
        <w:ind w:hanging="736" w:left="851" w:right="-20"/>
        <w:rPr>
          <w:spacing w:val="2"/>
        </w:rPr>
      </w:pPr>
      <w:r>
        <w:rPr>
          <w:spacing w:val="2"/>
        </w:rPr>
      </w:r>
    </w:p>
    <w:tbl>
      <w:tblPr>
        <w:tblStyle w:val="Grigliatabella"/>
        <w:tblW w:w="9638"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851"/>
        <w:gridCol w:w="8787"/>
      </w:tblGrid>
      <w:tr>
        <w:trPr>
          <w:trHeight w:val="494" w:hRule="atLeast"/>
        </w:trPr>
        <w:tc>
          <w:tcPr>
            <w:tcW w:w="9638" w:type="dxa"/>
            <w:gridSpan w:val="2"/>
            <w:tcBorders>
              <w:top w:val="nil"/>
              <w:left w:val="nil"/>
              <w:bottom w:val="nil"/>
              <w:right w:val="nil"/>
            </w:tcBorders>
            <w:vAlign w:val="center"/>
          </w:tcPr>
          <w:p>
            <w:pPr>
              <w:pStyle w:val="Normal"/>
              <w:widowControl/>
              <w:tabs>
                <w:tab w:val="clear" w:pos="709"/>
                <w:tab w:val="left" w:pos="780" w:leader="none"/>
              </w:tabs>
              <w:suppressAutoHyphens w:val="false"/>
              <w:spacing w:before="0" w:after="0"/>
              <w:ind w:hanging="736" w:left="851" w:right="-20"/>
              <w:jc w:val="left"/>
              <w:rPr>
                <w:rFonts w:eastAsia="Arial" w:cs="DejaVu Sans"/>
                <w:kern w:val="0"/>
                <w:lang w:eastAsia="en-US" w:bidi="ar-SA"/>
              </w:rPr>
            </w:pPr>
            <w:r>
              <w:rPr>
                <w:rFonts w:eastAsia="Arial" w:cs="Arial" w:ascii="Arial" w:hAnsi="Arial"/>
                <w:b/>
                <w:color w:val="365F91"/>
                <w:spacing w:val="2"/>
                <w:kern w:val="0"/>
                <w:sz w:val="24"/>
                <w:szCs w:val="24"/>
                <w:lang w:val="it-IT" w:eastAsia="en-US" w:bidi="ar-SA"/>
              </w:rPr>
              <w:t>PENALITA’ STANDARD</w:t>
            </w:r>
          </w:p>
        </w:tc>
      </w:tr>
      <w:tr>
        <w:trPr/>
        <w:tc>
          <w:tcPr>
            <w:tcW w:w="851" w:type="dxa"/>
            <w:tcBorders>
              <w:top w:val="nil"/>
              <w:left w:val="nil"/>
              <w:bottom w:val="nil"/>
              <w:right w:val="nil"/>
            </w:tcBorders>
          </w:tcPr>
          <w:p>
            <w:pPr>
              <w:pStyle w:val="Normal"/>
              <w:widowControl/>
              <w:tabs>
                <w:tab w:val="clear" w:pos="709"/>
                <w:tab w:val="left" w:pos="780" w:leader="none"/>
              </w:tabs>
              <w:suppressAutoHyphens w:val="false"/>
              <w:spacing w:before="0" w:after="0"/>
              <w:ind w:hanging="736" w:left="851" w:right="-20"/>
              <w:jc w:val="left"/>
              <w:rPr>
                <w:rFonts w:eastAsia="Arial" w:cs="DejaVu Sans"/>
                <w:kern w:val="0"/>
                <w:lang w:eastAsia="en-US" w:bidi="ar-SA"/>
              </w:rPr>
            </w:pPr>
            <w:r>
              <w:rPr>
                <w:rFonts w:eastAsia="Arial" w:cs="Arial" w:ascii="Arial" w:hAnsi="Arial"/>
                <w:b/>
                <w:color w:val="365F91"/>
                <w:spacing w:val="2"/>
                <w:kern w:val="0"/>
                <w:sz w:val="24"/>
                <w:szCs w:val="24"/>
                <w:lang w:val="it-IT" w:eastAsia="en-US" w:bidi="ar-SA"/>
              </w:rPr>
              <w:t>[SP]</w:t>
            </w:r>
          </w:p>
        </w:tc>
        <w:tc>
          <w:tcPr>
            <w:tcW w:w="8787" w:type="dxa"/>
            <w:tcBorders>
              <w:top w:val="nil"/>
              <w:left w:val="nil"/>
              <w:bottom w:val="nil"/>
              <w:right w:val="nil"/>
            </w:tcBorders>
          </w:tcPr>
          <w:p>
            <w:pPr>
              <w:pStyle w:val="Normal"/>
              <w:widowControl/>
              <w:suppressAutoHyphens w:val="false"/>
              <w:spacing w:before="0" w:after="0"/>
              <w:jc w:val="both"/>
              <w:rPr>
                <w:rFonts w:eastAsia="Arial" w:cs="DejaVu Sans"/>
                <w:kern w:val="0"/>
                <w:lang w:eastAsia="en-US" w:bidi="ar-SA"/>
              </w:rPr>
            </w:pPr>
            <w:r>
              <w:rPr>
                <w:rFonts w:eastAsia="Arial" w:cs="DejaVu Sans" w:ascii="Arial" w:hAnsi="Arial"/>
                <w:color w:themeColor="text1" w:themeTint="bf" w:val="404040"/>
                <w:kern w:val="0"/>
                <w:sz w:val="24"/>
                <w:szCs w:val="24"/>
                <w:lang w:val="it-IT" w:eastAsia="en-US" w:bidi="ar-SA"/>
              </w:rPr>
              <w:t>Regole per le quali una penalità standard può essere applicate dal CdR o dal CT senza tenere un’udienza.</w:t>
            </w:r>
          </w:p>
        </w:tc>
      </w:tr>
      <w:tr>
        <w:trPr>
          <w:trHeight w:val="1133" w:hRule="atLeast"/>
        </w:trPr>
        <w:tc>
          <w:tcPr>
            <w:tcW w:w="9638" w:type="dxa"/>
            <w:gridSpan w:val="2"/>
            <w:tcBorders>
              <w:top w:val="nil"/>
              <w:left w:val="nil"/>
              <w:bottom w:val="nil"/>
              <w:right w:val="nil"/>
            </w:tcBorders>
          </w:tcPr>
          <w:p>
            <w:pPr>
              <w:pStyle w:val="Normal"/>
              <w:widowControl/>
              <w:suppressAutoHyphens w:val="false"/>
              <w:spacing w:before="0" w:after="0"/>
              <w:jc w:val="both"/>
              <w:rPr>
                <w:rFonts w:eastAsia="Arial" w:cs="DejaVu Sans"/>
                <w:color w:themeColor="text1" w:themeTint="bf" w:val="404040"/>
                <w:kern w:val="0"/>
                <w:lang w:eastAsia="en-US" w:bidi="ar-SA"/>
              </w:rPr>
            </w:pPr>
            <w:r>
              <w:rPr>
                <w:rFonts w:eastAsia="Arial" w:cs="DejaVu Sans"/>
                <w:color w:themeColor="text1" w:themeTint="bf" w:val="404040"/>
                <w:kern w:val="0"/>
                <w:lang w:eastAsia="en-US" w:bidi="ar-SA"/>
              </w:rPr>
            </w:r>
          </w:p>
          <w:p>
            <w:pPr>
              <w:pStyle w:val="Normal"/>
              <w:widowControl/>
              <w:suppressAutoHyphens w:val="false"/>
              <w:spacing w:before="0" w:after="0"/>
              <w:jc w:val="both"/>
              <w:rPr>
                <w:rFonts w:eastAsia="Arial" w:cs="DejaVu Sans"/>
                <w:kern w:val="0"/>
                <w:lang w:eastAsia="en-US" w:bidi="ar-SA"/>
              </w:rPr>
            </w:pPr>
            <w:r>
              <w:rPr>
                <w:rFonts w:eastAsia="Arial" w:cs="DejaVu Sans" w:ascii="Arial" w:hAnsi="Arial"/>
                <w:color w:themeColor="text1" w:themeTint="bf" w:val="404040"/>
                <w:kern w:val="0"/>
                <w:sz w:val="24"/>
                <w:szCs w:val="24"/>
                <w:lang w:val="it-IT" w:eastAsia="en-US" w:bidi="ar-SA"/>
              </w:rPr>
              <w:t xml:space="preserve">Alla prima infrazione al punto </w:t>
            </w:r>
            <w:r>
              <w:rPr>
                <w:rFonts w:eastAsia="Arial" w:cs="DejaVu Sans" w:ascii="Arial" w:hAnsi="Arial"/>
                <w:b/>
                <w:color w:themeColor="text1" w:themeTint="bf" w:val="404040"/>
                <w:kern w:val="0"/>
                <w:sz w:val="24"/>
                <w:szCs w:val="24"/>
                <w:lang w:val="it-IT" w:eastAsia="en-US" w:bidi="ar-SA"/>
              </w:rPr>
              <w:t>B3.4 dell’Addendum BPS</w:t>
            </w:r>
            <w:r>
              <w:rPr>
                <w:rFonts w:eastAsia="Arial" w:cs="DejaVu Sans" w:ascii="Arial" w:hAnsi="Arial"/>
                <w:color w:themeColor="text1" w:themeTint="bf" w:val="404040"/>
                <w:kern w:val="0"/>
                <w:sz w:val="24"/>
                <w:szCs w:val="24"/>
                <w:lang w:val="it-IT" w:eastAsia="en-US" w:bidi="ar-SA"/>
              </w:rPr>
              <w:t>, seguirà un richiamo. Alla seconda infrazione, la Persona di supporto, dovrà dirigersi presso la waiting area e stazionare presso la stessa durante lo svolgimento delle prove del giorno. Alla terza infrazione l’obbligo di stazionamento nella waiting area sarà esteso a tutti i giorni di regata durante lo svolgimento delle prove.</w:t>
            </w:r>
          </w:p>
        </w:tc>
      </w:tr>
    </w:tbl>
    <w:p>
      <w:pPr>
        <w:pStyle w:val="Normal"/>
        <w:rPr/>
      </w:pPr>
      <w:r>
        <w:rPr/>
      </w:r>
    </w:p>
    <w:p>
      <w:pPr>
        <w:pStyle w:val="Normal"/>
        <w:rPr/>
      </w:pPr>
      <w:r>
        <w:rPr/>
      </w:r>
    </w:p>
    <w:p>
      <w:pPr>
        <w:pStyle w:val="Normal"/>
        <w:rPr/>
      </w:pPr>
      <w:r>
        <w:rPr/>
        <w:t>Firme: [* Le Istruzioni di Regata devono essere firmate dal Presidente del Comitato di Regata o dall'Ufficiale di Regata Principale e dal Rappresentante della SCIRA*].</w:t>
      </w:r>
    </w:p>
    <w:p>
      <w:pPr>
        <w:pStyle w:val="Normal"/>
        <w:rPr/>
      </w:pPr>
      <w:r>
        <w:rPr/>
      </w:r>
    </w:p>
    <w:p>
      <w:pPr>
        <w:pStyle w:val="Normal"/>
        <w:rPr/>
      </w:pPr>
      <w:r>
        <w:rPr/>
        <w:t>&lt;inserire nome&gt; - Presidente del Comitato di Regata &lt;inserire nome&gt; - Rappresentante SCIRA</w:t>
      </w:r>
    </w:p>
    <w:p>
      <w:pPr>
        <w:pStyle w:val="Normal"/>
        <w:rPr/>
      </w:pPr>
      <w:r>
        <w:rPr/>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Eurostile">
    <w:charset w:val="01"/>
    <w:family w:val="swiss"/>
    <w:pitch w:val="variable"/>
  </w:font>
  <w:font w:name="Comic Sans MS">
    <w:charset w:val="01"/>
    <w:family w:val="roman"/>
    <w:pitch w:val="variable"/>
  </w:font>
  <w:font w:name="Helvetica Neue">
    <w:charset w:val="01"/>
    <w:family w:val="roman"/>
    <w:pitch w:val="variable"/>
  </w:font>
  <w:font w:name="Arial">
    <w:charset w:val="01"/>
    <w:family w:val="swiss"/>
    <w:pitch w:val="variable"/>
  </w:font>
  <w:font w:name="Arial Nova">
    <w:charset w:val="01"/>
    <w:family w:val="swiss"/>
    <w:pitch w:val="variable"/>
  </w:font>
  <w:font w:name="Calibri">
    <w:charset w:val="01"/>
    <w:family w:val="swiss"/>
    <w:pitch w:val="default"/>
  </w:font>
  <w:font w:name="Courier New">
    <w:charset w:val="01"/>
    <w:family w:val="modern"/>
    <w:pitch w:val="fixed"/>
  </w:font>
  <w:font w:name="Wingdings">
    <w:charset w:val="01"/>
    <w:family w:val="auto"/>
    <w:pitch w:val="variable"/>
  </w:font>
  <w:font w:name="Symbol">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835" w:hanging="360"/>
      </w:pPr>
      <w:rPr>
        <w:rFonts w:ascii="Calibri" w:hAnsi="Calibri" w:cs="Calibri" w:hint="default"/>
      </w:rPr>
    </w:lvl>
    <w:lvl w:ilvl="1">
      <w:start w:val="1"/>
      <w:numFmt w:val="bullet"/>
      <w:lvlText w:val="o"/>
      <w:lvlJc w:val="left"/>
      <w:pPr>
        <w:tabs>
          <w:tab w:val="num" w:pos="0"/>
        </w:tabs>
        <w:ind w:left="1555" w:hanging="360"/>
      </w:pPr>
      <w:rPr>
        <w:rFonts w:ascii="Courier New" w:hAnsi="Courier New" w:cs="Courier New" w:hint="default"/>
      </w:rPr>
    </w:lvl>
    <w:lvl w:ilvl="2">
      <w:start w:val="1"/>
      <w:numFmt w:val="bullet"/>
      <w:lvlText w:val=""/>
      <w:lvlJc w:val="left"/>
      <w:pPr>
        <w:tabs>
          <w:tab w:val="num" w:pos="0"/>
        </w:tabs>
        <w:ind w:left="2275" w:hanging="360"/>
      </w:pPr>
      <w:rPr>
        <w:rFonts w:ascii="Wingdings" w:hAnsi="Wingdings" w:cs="Wingdings" w:hint="default"/>
      </w:rPr>
    </w:lvl>
    <w:lvl w:ilvl="3">
      <w:start w:val="1"/>
      <w:numFmt w:val="bullet"/>
      <w:lvlText w:val=""/>
      <w:lvlJc w:val="left"/>
      <w:pPr>
        <w:tabs>
          <w:tab w:val="num" w:pos="0"/>
        </w:tabs>
        <w:ind w:left="2995" w:hanging="360"/>
      </w:pPr>
      <w:rPr>
        <w:rFonts w:ascii="Symbol" w:hAnsi="Symbol" w:cs="Symbol" w:hint="default"/>
      </w:rPr>
    </w:lvl>
    <w:lvl w:ilvl="4">
      <w:start w:val="1"/>
      <w:numFmt w:val="bullet"/>
      <w:lvlText w:val="o"/>
      <w:lvlJc w:val="left"/>
      <w:pPr>
        <w:tabs>
          <w:tab w:val="num" w:pos="0"/>
        </w:tabs>
        <w:ind w:left="3715" w:hanging="360"/>
      </w:pPr>
      <w:rPr>
        <w:rFonts w:ascii="Courier New" w:hAnsi="Courier New" w:cs="Courier New" w:hint="default"/>
      </w:rPr>
    </w:lvl>
    <w:lvl w:ilvl="5">
      <w:start w:val="1"/>
      <w:numFmt w:val="bullet"/>
      <w:lvlText w:val=""/>
      <w:lvlJc w:val="left"/>
      <w:pPr>
        <w:tabs>
          <w:tab w:val="num" w:pos="0"/>
        </w:tabs>
        <w:ind w:left="4435" w:hanging="360"/>
      </w:pPr>
      <w:rPr>
        <w:rFonts w:ascii="Wingdings" w:hAnsi="Wingdings" w:cs="Wingdings" w:hint="default"/>
      </w:rPr>
    </w:lvl>
    <w:lvl w:ilvl="6">
      <w:start w:val="1"/>
      <w:numFmt w:val="bullet"/>
      <w:lvlText w:val=""/>
      <w:lvlJc w:val="left"/>
      <w:pPr>
        <w:tabs>
          <w:tab w:val="num" w:pos="0"/>
        </w:tabs>
        <w:ind w:left="5155" w:hanging="360"/>
      </w:pPr>
      <w:rPr>
        <w:rFonts w:ascii="Symbol" w:hAnsi="Symbol" w:cs="Symbol" w:hint="default"/>
      </w:rPr>
    </w:lvl>
    <w:lvl w:ilvl="7">
      <w:start w:val="1"/>
      <w:numFmt w:val="bullet"/>
      <w:lvlText w:val="o"/>
      <w:lvlJc w:val="left"/>
      <w:pPr>
        <w:tabs>
          <w:tab w:val="num" w:pos="0"/>
        </w:tabs>
        <w:ind w:left="5875" w:hanging="360"/>
      </w:pPr>
      <w:rPr>
        <w:rFonts w:ascii="Courier New" w:hAnsi="Courier New" w:cs="Courier New" w:hint="default"/>
      </w:rPr>
    </w:lvl>
    <w:lvl w:ilvl="8">
      <w:start w:val="1"/>
      <w:numFmt w:val="bullet"/>
      <w:lvlText w:val=""/>
      <w:lvlJc w:val="left"/>
      <w:pPr>
        <w:tabs>
          <w:tab w:val="num" w:pos="0"/>
        </w:tabs>
        <w:ind w:left="6595" w:hanging="360"/>
      </w:pPr>
      <w:rPr>
        <w:rFonts w:ascii="Wingdings" w:hAnsi="Wingdings" w:cs="Wingdings" w:hint="default"/>
      </w:rPr>
    </w:lvl>
  </w:abstractNum>
  <w:abstractNum w:abstractNumId="2">
    <w:lvl w:ilvl="0">
      <w:numFmt w:val="bullet"/>
      <w:lvlText w:val="●"/>
      <w:lvlJc w:val="left"/>
      <w:pPr>
        <w:tabs>
          <w:tab w:val="num" w:pos="0"/>
        </w:tabs>
        <w:ind w:left="835" w:hanging="360"/>
      </w:pPr>
      <w:rPr>
        <w:rFonts w:ascii="Calibri" w:hAnsi="Calibri" w:cs="Calibri" w:hint="default"/>
      </w:rPr>
    </w:lvl>
    <w:lvl w:ilvl="1">
      <w:start w:val="1"/>
      <w:numFmt w:val="bullet"/>
      <w:lvlText w:val="o"/>
      <w:lvlJc w:val="left"/>
      <w:pPr>
        <w:tabs>
          <w:tab w:val="num" w:pos="0"/>
        </w:tabs>
        <w:ind w:left="1555" w:hanging="360"/>
      </w:pPr>
      <w:rPr>
        <w:rFonts w:ascii="Courier New" w:hAnsi="Courier New" w:cs="Courier New" w:hint="default"/>
      </w:rPr>
    </w:lvl>
    <w:lvl w:ilvl="2">
      <w:start w:val="1"/>
      <w:numFmt w:val="bullet"/>
      <w:lvlText w:val=""/>
      <w:lvlJc w:val="left"/>
      <w:pPr>
        <w:tabs>
          <w:tab w:val="num" w:pos="0"/>
        </w:tabs>
        <w:ind w:left="2275" w:hanging="360"/>
      </w:pPr>
      <w:rPr>
        <w:rFonts w:ascii="Wingdings" w:hAnsi="Wingdings" w:cs="Wingdings" w:hint="default"/>
      </w:rPr>
    </w:lvl>
    <w:lvl w:ilvl="3">
      <w:start w:val="1"/>
      <w:numFmt w:val="bullet"/>
      <w:lvlText w:val=""/>
      <w:lvlJc w:val="left"/>
      <w:pPr>
        <w:tabs>
          <w:tab w:val="num" w:pos="0"/>
        </w:tabs>
        <w:ind w:left="2995" w:hanging="360"/>
      </w:pPr>
      <w:rPr>
        <w:rFonts w:ascii="Symbol" w:hAnsi="Symbol" w:cs="Symbol" w:hint="default"/>
      </w:rPr>
    </w:lvl>
    <w:lvl w:ilvl="4">
      <w:start w:val="1"/>
      <w:numFmt w:val="bullet"/>
      <w:lvlText w:val="o"/>
      <w:lvlJc w:val="left"/>
      <w:pPr>
        <w:tabs>
          <w:tab w:val="num" w:pos="0"/>
        </w:tabs>
        <w:ind w:left="3715" w:hanging="360"/>
      </w:pPr>
      <w:rPr>
        <w:rFonts w:ascii="Courier New" w:hAnsi="Courier New" w:cs="Courier New" w:hint="default"/>
      </w:rPr>
    </w:lvl>
    <w:lvl w:ilvl="5">
      <w:start w:val="1"/>
      <w:numFmt w:val="bullet"/>
      <w:lvlText w:val=""/>
      <w:lvlJc w:val="left"/>
      <w:pPr>
        <w:tabs>
          <w:tab w:val="num" w:pos="0"/>
        </w:tabs>
        <w:ind w:left="4435" w:hanging="360"/>
      </w:pPr>
      <w:rPr>
        <w:rFonts w:ascii="Wingdings" w:hAnsi="Wingdings" w:cs="Wingdings" w:hint="default"/>
      </w:rPr>
    </w:lvl>
    <w:lvl w:ilvl="6">
      <w:start w:val="1"/>
      <w:numFmt w:val="bullet"/>
      <w:lvlText w:val=""/>
      <w:lvlJc w:val="left"/>
      <w:pPr>
        <w:tabs>
          <w:tab w:val="num" w:pos="0"/>
        </w:tabs>
        <w:ind w:left="5155" w:hanging="360"/>
      </w:pPr>
      <w:rPr>
        <w:rFonts w:ascii="Symbol" w:hAnsi="Symbol" w:cs="Symbol" w:hint="default"/>
      </w:rPr>
    </w:lvl>
    <w:lvl w:ilvl="7">
      <w:start w:val="1"/>
      <w:numFmt w:val="bullet"/>
      <w:lvlText w:val="o"/>
      <w:lvlJc w:val="left"/>
      <w:pPr>
        <w:tabs>
          <w:tab w:val="num" w:pos="0"/>
        </w:tabs>
        <w:ind w:left="5875" w:hanging="360"/>
      </w:pPr>
      <w:rPr>
        <w:rFonts w:ascii="Courier New" w:hAnsi="Courier New" w:cs="Courier New" w:hint="default"/>
      </w:rPr>
    </w:lvl>
    <w:lvl w:ilvl="8">
      <w:start w:val="1"/>
      <w:numFmt w:val="bullet"/>
      <w:lvlText w:val=""/>
      <w:lvlJc w:val="left"/>
      <w:pPr>
        <w:tabs>
          <w:tab w:val="num" w:pos="0"/>
        </w:tabs>
        <w:ind w:left="6595"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hyphenationZone w:val="283"/>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kern w:val="2"/>
        <w:sz w:val="24"/>
        <w:szCs w:val="24"/>
        <w:lang w:val="it-IT" w:eastAsia="zh-CN" w:bidi="hi-IN"/>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overflowPunct w:val="false"/>
      <w:bidi w:val="0"/>
      <w:spacing w:before="0" w:after="0"/>
      <w:jc w:val="left"/>
    </w:pPr>
    <w:rPr>
      <w:rFonts w:ascii="Liberation Serif" w:hAnsi="Liberation Serif" w:eastAsia="Songti SC" w:cs="Arial Unicode MS"/>
      <w:color w:val="auto"/>
      <w:kern w:val="2"/>
      <w:sz w:val="24"/>
      <w:szCs w:val="24"/>
      <w:lang w:val="it-IT" w:eastAsia="zh-CN" w:bidi="hi-IN"/>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paragraph" w:styleId="Titolo">
    <w:name w:val="Titolo"/>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rPr>
  </w:style>
  <w:style w:type="paragraph" w:styleId="Indice" w:customStyle="1">
    <w:name w:val="Indice"/>
    <w:basedOn w:val="Normal"/>
    <w:qFormat/>
    <w:pPr>
      <w:suppressLineNumbers/>
    </w:pPr>
    <w:rPr/>
  </w:style>
  <w:style w:type="paragraph" w:styleId="Titolouser">
    <w:name w:val="Titolo (user)"/>
    <w:basedOn w:val="Normal"/>
    <w:next w:val="BodyText"/>
    <w:qFormat/>
    <w:pPr>
      <w:keepNext w:val="true"/>
      <w:spacing w:before="240" w:after="120"/>
    </w:pPr>
    <w:rPr>
      <w:rFonts w:ascii="Liberation Sans" w:hAnsi="Liberation Sans" w:eastAsia="PingFang SC" w:cs="Arial Unicode MS"/>
      <w:sz w:val="28"/>
      <w:szCs w:val="28"/>
    </w:rPr>
  </w:style>
  <w:style w:type="paragraph" w:styleId="Indiceuser">
    <w:name w:val="Indice (user)"/>
    <w:basedOn w:val="Normal"/>
    <w:qFormat/>
    <w:pPr>
      <w:suppressLineNumbers/>
    </w:pPr>
    <w:rPr>
      <w:rFonts w:cs="Arial Unicode MS"/>
    </w:rPr>
  </w:style>
  <w:style w:type="paragraph" w:styleId="Title">
    <w:name w:val="Title"/>
    <w:basedOn w:val="Normal"/>
    <w:next w:val="BodyText"/>
    <w:uiPriority w:val="10"/>
    <w:qFormat/>
    <w:pPr>
      <w:keepNext w:val="true"/>
      <w:spacing w:before="240" w:after="120"/>
    </w:pPr>
    <w:rPr>
      <w:rFonts w:ascii="Liberation Sans" w:hAnsi="Liberation Sans" w:eastAsia="PingFang SC"/>
      <w:sz w:val="28"/>
      <w:szCs w:val="28"/>
    </w:rPr>
  </w:style>
  <w:style w:type="paragraph" w:styleId="Intestazioneepidipagina" w:customStyle="1">
    <w:name w:val="Intestazione e piè di pagina"/>
    <w:basedOn w:val="Normal"/>
    <w:qFormat/>
    <w:pPr>
      <w:suppressLineNumbers/>
      <w:tabs>
        <w:tab w:val="clear" w:pos="709"/>
        <w:tab w:val="center" w:pos="4819" w:leader="none"/>
        <w:tab w:val="right" w:pos="9638" w:leader="none"/>
      </w:tabs>
    </w:pPr>
    <w:rPr/>
  </w:style>
  <w:style w:type="paragraph" w:styleId="Intestazioneepidipaginauser">
    <w:name w:val="Intestazione e piè di pagina (user)"/>
    <w:basedOn w:val="Normal"/>
    <w:qFormat/>
    <w:pPr/>
    <w:rPr/>
  </w:style>
  <w:style w:type="paragraph" w:styleId="Footer">
    <w:name w:val="footer"/>
    <w:basedOn w:val="Normal"/>
    <w:pPr>
      <w:suppressLineNumbers/>
    </w:pPr>
    <w:rPr/>
  </w:style>
  <w:style w:type="paragraph" w:styleId="Contenutotabella" w:customStyle="1">
    <w:name w:val="Contenuto tabella"/>
    <w:basedOn w:val="Normal"/>
    <w:qFormat/>
    <w:pPr>
      <w:widowControl w:val="false"/>
      <w:suppressLineNumbers/>
    </w:pPr>
    <w:rPr/>
  </w:style>
  <w:style w:type="paragraph" w:styleId="Body2" w:customStyle="1">
    <w:name w:val="Body 2"/>
    <w:qFormat/>
    <w:rsid w:val="00260626"/>
    <w:pPr>
      <w:widowControl/>
      <w:suppressAutoHyphens w:val="false"/>
      <w:bidi w:val="0"/>
      <w:spacing w:before="0" w:after="140"/>
      <w:jc w:val="left"/>
    </w:pPr>
    <w:rPr>
      <w:rFonts w:ascii="Eurostile" w:hAnsi="Eurostile" w:eastAsia="Arial Unicode MS" w:cs="Arial Unicode MS"/>
      <w:color w:val="000000"/>
      <w:spacing w:val="7"/>
      <w:kern w:val="0"/>
      <w:sz w:val="24"/>
      <w:szCs w:val="24"/>
      <w:lang w:val="it-IT" w:eastAsia="en-GB" w:bidi="ar-SA"/>
    </w:rPr>
  </w:style>
  <w:style w:type="paragraph" w:styleId="Body1" w:customStyle="1">
    <w:name w:val="Body 1"/>
    <w:qFormat/>
    <w:rsid w:val="00260626"/>
    <w:pPr>
      <w:widowControl/>
      <w:suppressAutoHyphens w:val="false"/>
      <w:bidi w:val="0"/>
      <w:spacing w:lineRule="auto" w:line="312" w:before="400" w:after="240"/>
      <w:jc w:val="left"/>
    </w:pPr>
    <w:rPr>
      <w:rFonts w:ascii="Eurostile" w:hAnsi="Eurostile" w:eastAsia="Arial Unicode MS" w:cs="Arial Unicode MS"/>
      <w:b/>
      <w:bCs/>
      <w:caps/>
      <w:color w:val="000000"/>
      <w:spacing w:val="7"/>
      <w:kern w:val="0"/>
      <w:sz w:val="24"/>
      <w:szCs w:val="24"/>
      <w:lang w:val="it-IT" w:eastAsia="en-GB" w:bidi="ar-SA"/>
    </w:rPr>
  </w:style>
  <w:style w:type="paragraph" w:styleId="CM2" w:customStyle="1">
    <w:name w:val="CM2"/>
    <w:basedOn w:val="Normal"/>
    <w:next w:val="Normal"/>
    <w:uiPriority w:val="99"/>
    <w:qFormat/>
    <w:rsid w:val="00f20155"/>
    <w:pPr>
      <w:widowControl w:val="false"/>
      <w:suppressAutoHyphens w:val="false"/>
      <w:overflowPunct w:val="true"/>
      <w:spacing w:lineRule="atLeast" w:line="233"/>
    </w:pPr>
    <w:rPr>
      <w:rFonts w:ascii="Comic Sans MS" w:hAnsi="Comic Sans MS" w:eastAsia="Times New Roman" w:cs="Times New Roman"/>
      <w:kern w:val="0"/>
      <w:lang w:eastAsia="it-IT" w:bidi="ar-SA"/>
    </w:rPr>
  </w:style>
  <w:style w:type="paragraph" w:styleId="Body" w:customStyle="1">
    <w:name w:val="Body"/>
    <w:qFormat/>
    <w:rsid w:val="00d721f9"/>
    <w:pPr>
      <w:widowControl/>
      <w:suppressAutoHyphens w:val="false"/>
      <w:bidi w:val="0"/>
      <w:spacing w:lineRule="auto" w:line="312" w:before="0" w:after="240"/>
      <w:jc w:val="left"/>
    </w:pPr>
    <w:rPr>
      <w:rFonts w:ascii="Helvetica Neue" w:hAnsi="Helvetica Neue" w:eastAsia="Arial Unicode MS" w:cs="Arial Unicode MS"/>
      <w:color w:val="000000"/>
      <w:spacing w:val="7"/>
      <w:kern w:val="0"/>
      <w:sz w:val="24"/>
      <w:szCs w:val="24"/>
      <w:lang w:val="en-US" w:eastAsia="en-GB" w:bidi="ar-SA"/>
    </w:rPr>
  </w:style>
  <w:style w:type="paragraph" w:styleId="ListParagraph">
    <w:name w:val="List Paragraph"/>
    <w:basedOn w:val="Normal"/>
    <w:uiPriority w:val="72"/>
    <w:qFormat/>
    <w:rsid w:val="00d721f9"/>
    <w:pPr>
      <w:suppressAutoHyphens w:val="false"/>
      <w:overflowPunct w:val="true"/>
      <w:spacing w:before="0" w:after="0"/>
      <w:ind w:left="720"/>
      <w:contextualSpacing/>
    </w:pPr>
    <w:rPr>
      <w:rFonts w:ascii="Eurostile" w:hAnsi="Eurostile" w:eastAsia="Arial Unicode MS" w:cs="Times New Roman"/>
      <w:kern w:val="0"/>
      <w:lang w:val="en-US" w:eastAsia="en-US" w:bidi="ar-SA"/>
    </w:rPr>
  </w:style>
  <w:style w:type="paragraph" w:styleId="Commento" w:customStyle="1">
    <w:name w:val="Commento"/>
    <w:basedOn w:val="Normal"/>
    <w:qFormat/>
    <w:pPr>
      <w:spacing w:before="56" w:after="0"/>
      <w:ind w:left="56" w:right="56"/>
    </w:pPr>
    <w:rPr>
      <w:sz w:val="20"/>
      <w:szCs w:val="20"/>
    </w:rPr>
  </w:style>
  <w:style w:type="paragraph" w:styleId="Titolotabella">
    <w:name w:val="Titolo tabella"/>
    <w:basedOn w:val="Contenutotabella"/>
    <w:qFormat/>
    <w:pPr>
      <w:suppressLineNumbers/>
      <w:jc w:val="center"/>
    </w:pPr>
    <w:rPr>
      <w:b/>
      <w:bCs/>
    </w:rPr>
  </w:style>
  <w:style w:type="numbering" w:styleId="Nessunelenco" w:default="1">
    <w:name w:val="Nessun elenco"/>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Grigliatabella">
    <w:name w:val="Table Grid"/>
    <w:basedOn w:val="Tabellanormale"/>
    <w:uiPriority w:val="39"/>
    <w:rsid w:val="00d721f9"/>
    <w:rPr>
      <w:rFonts w:asciiTheme="minorHAnsi" w:hAnsiTheme="minorHAnsi" w:eastAsiaTheme="minorHAnsi" w:cstheme="minorBidi"/>
      <w:lang w:eastAsia="en-US"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155</TotalTime>
  <Application>LibreOffice/25.8.4.2$MacOSX_AARCH64 LibreOffice_project/290daaa01b999472f0c7a3890eb6a550fd74c6df</Application>
  <AppVersion>15.0000</AppVersion>
  <Pages>9</Pages>
  <Words>3988</Words>
  <Characters>20964</Characters>
  <CharactersWithSpaces>24774</CharactersWithSpaces>
  <Paragraphs>224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2025-02-18T09:13:00Z</dcterms:created>
  <dc:creator>Antonio Bari</dc:creator>
  <dc:description/>
  <dc:language>it-IT</dc:language>
  <cp:lastModifiedBy>Antonio Bari</cp:lastModifiedBy>
  <dcterms:modified xsi:type="dcterms:W3CDTF">2026-01-21T18:30:54Z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